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7C7E1CDA" w:rsidR="00EF741C" w:rsidRDefault="00252F03" w:rsidP="009A1747">
      <w:pPr>
        <w:spacing w:beforeAutospacing="1" w:after="120"/>
        <w:rPr>
          <w:rFonts w:eastAsia="Times New Roman"/>
          <w:lang w:eastAsia="pl-PL"/>
        </w:rPr>
      </w:pPr>
      <w:bookmarkStart w:id="0" w:name="_Toc53577686"/>
      <w:bookmarkStart w:id="1" w:name="_Toc53578004"/>
      <w:r w:rsidRPr="00252F03">
        <w:rPr>
          <w:rFonts w:eastAsia="Times New Roman"/>
          <w:lang w:eastAsia="pl-PL"/>
        </w:rPr>
        <w:t xml:space="preserve">Załącznik nr </w:t>
      </w:r>
      <w:r w:rsidR="00954891">
        <w:rPr>
          <w:rFonts w:eastAsia="Times New Roman"/>
          <w:lang w:eastAsia="pl-PL"/>
        </w:rPr>
        <w:t>2</w:t>
      </w:r>
      <w:r w:rsidR="00EF741C">
        <w:rPr>
          <w:rFonts w:eastAsia="Times New Roman"/>
          <w:lang w:eastAsia="pl-PL"/>
        </w:rPr>
        <w:t xml:space="preserve"> do Regulaminu wyboru projektów</w:t>
      </w:r>
    </w:p>
    <w:p w14:paraId="0EC50B50" w14:textId="05936B60" w:rsidR="004E3388" w:rsidRPr="005C0B42" w:rsidRDefault="00252F03" w:rsidP="005C0B42">
      <w:pPr>
        <w:pStyle w:val="Nagwek1"/>
      </w:pPr>
      <w:r w:rsidRPr="005C0B42">
        <w:t>Zasady pomiaru wskaźników w projekcie dofinansowanym z</w:t>
      </w:r>
      <w:r w:rsidR="007B0336" w:rsidRPr="005C0B42">
        <w:t> </w:t>
      </w:r>
      <w:r w:rsidRPr="005C0B42">
        <w:t>Europejskiego</w:t>
      </w:r>
      <w:r w:rsidR="007B0336" w:rsidRPr="005C0B42">
        <w:t> </w:t>
      </w:r>
      <w:r w:rsidRPr="005C0B42">
        <w:t xml:space="preserve">Funduszu Społecznego Plus </w:t>
      </w:r>
      <w:r w:rsidR="007B0336" w:rsidRPr="005C0B42">
        <w:br/>
      </w:r>
      <w:r w:rsidRPr="005C0B42">
        <w:t xml:space="preserve">w ramach programu regionalnego Fundusze Europejskie dla Pomorza </w:t>
      </w:r>
      <w:r w:rsidR="007B0336" w:rsidRPr="005C0B42">
        <w:br/>
      </w:r>
      <w:r w:rsidRPr="005C0B42">
        <w:t>2021-2027</w:t>
      </w:r>
      <w:bookmarkEnd w:id="0"/>
      <w:bookmarkEnd w:id="1"/>
    </w:p>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954891">
          <w:pPr>
            <w:pStyle w:val="Nagwekspisutreci"/>
            <w:spacing w:after="0"/>
            <w:ind w:left="357"/>
          </w:pPr>
          <w:r>
            <w:t>Spis treści</w:t>
          </w:r>
        </w:p>
        <w:p w14:paraId="6CBBE2BB" w14:textId="2967D251" w:rsidR="00F12019" w:rsidRDefault="00F12019" w:rsidP="0041610C">
          <w:pPr>
            <w:pStyle w:val="Spistreci1"/>
            <w:rPr>
              <w:noProof/>
              <w:szCs w:val="22"/>
              <w:lang w:eastAsia="pl-PL"/>
            </w:rPr>
          </w:pPr>
          <w:r>
            <w:fldChar w:fldCharType="begin"/>
          </w:r>
          <w:r>
            <w:instrText xml:space="preserve"> TOC \o "1-3" \h \z \u </w:instrText>
          </w:r>
          <w:r>
            <w:fldChar w:fldCharType="separate"/>
          </w:r>
          <w:hyperlink w:anchor="_Toc141428614" w:history="1">
            <w:r w:rsidRPr="00045C55">
              <w:rPr>
                <w:rStyle w:val="Hipercze"/>
                <w:noProof/>
              </w:rPr>
              <w:t>Podstawa prawna</w:t>
            </w:r>
            <w:r>
              <w:rPr>
                <w:noProof/>
                <w:webHidden/>
              </w:rPr>
              <w:tab/>
            </w:r>
            <w:r>
              <w:rPr>
                <w:noProof/>
                <w:webHidden/>
              </w:rPr>
              <w:fldChar w:fldCharType="begin"/>
            </w:r>
            <w:r>
              <w:rPr>
                <w:noProof/>
                <w:webHidden/>
              </w:rPr>
              <w:instrText xml:space="preserve"> PAGEREF _Toc141428614 \h </w:instrText>
            </w:r>
            <w:r>
              <w:rPr>
                <w:noProof/>
                <w:webHidden/>
              </w:rPr>
            </w:r>
            <w:r>
              <w:rPr>
                <w:noProof/>
                <w:webHidden/>
              </w:rPr>
              <w:fldChar w:fldCharType="separate"/>
            </w:r>
            <w:r w:rsidR="00954891">
              <w:rPr>
                <w:noProof/>
                <w:webHidden/>
              </w:rPr>
              <w:t>2</w:t>
            </w:r>
            <w:r>
              <w:rPr>
                <w:noProof/>
                <w:webHidden/>
              </w:rPr>
              <w:fldChar w:fldCharType="end"/>
            </w:r>
          </w:hyperlink>
        </w:p>
        <w:p w14:paraId="7EF61DBC" w14:textId="7CC00A78" w:rsidR="00F12019" w:rsidRDefault="00954891" w:rsidP="0041610C">
          <w:pPr>
            <w:pStyle w:val="Spistreci1"/>
            <w:rPr>
              <w:noProof/>
              <w:szCs w:val="22"/>
              <w:lang w:eastAsia="pl-PL"/>
            </w:rPr>
          </w:pPr>
          <w:hyperlink w:anchor="_Toc141428615" w:history="1">
            <w:r w:rsidR="00F12019" w:rsidRPr="00045C55">
              <w:rPr>
                <w:rStyle w:val="Hipercze"/>
                <w:noProof/>
              </w:rPr>
              <w:t>Wykaz skrótów</w:t>
            </w:r>
            <w:r w:rsidR="00F12019">
              <w:rPr>
                <w:noProof/>
                <w:webHidden/>
              </w:rPr>
              <w:tab/>
            </w:r>
            <w:r w:rsidR="00F12019">
              <w:rPr>
                <w:noProof/>
                <w:webHidden/>
              </w:rPr>
              <w:fldChar w:fldCharType="begin"/>
            </w:r>
            <w:r w:rsidR="00F12019">
              <w:rPr>
                <w:noProof/>
                <w:webHidden/>
              </w:rPr>
              <w:instrText xml:space="preserve"> PAGEREF _Toc141428615 \h </w:instrText>
            </w:r>
            <w:r w:rsidR="00F12019">
              <w:rPr>
                <w:noProof/>
                <w:webHidden/>
              </w:rPr>
            </w:r>
            <w:r w:rsidR="00F12019">
              <w:rPr>
                <w:noProof/>
                <w:webHidden/>
              </w:rPr>
              <w:fldChar w:fldCharType="separate"/>
            </w:r>
            <w:r>
              <w:rPr>
                <w:noProof/>
                <w:webHidden/>
              </w:rPr>
              <w:t>2</w:t>
            </w:r>
            <w:r w:rsidR="00F12019">
              <w:rPr>
                <w:noProof/>
                <w:webHidden/>
              </w:rPr>
              <w:fldChar w:fldCharType="end"/>
            </w:r>
          </w:hyperlink>
        </w:p>
        <w:p w14:paraId="42DFB49A" w14:textId="3FC1424E" w:rsidR="00F12019" w:rsidRDefault="00954891" w:rsidP="0041610C">
          <w:pPr>
            <w:pStyle w:val="Spistreci1"/>
            <w:rPr>
              <w:noProof/>
              <w:szCs w:val="22"/>
              <w:lang w:eastAsia="pl-PL"/>
            </w:rPr>
          </w:pPr>
          <w:hyperlink w:anchor="_Toc141428616" w:history="1">
            <w:r w:rsidR="00F12019" w:rsidRPr="00045C55">
              <w:rPr>
                <w:rStyle w:val="Hipercze"/>
                <w:noProof/>
              </w:rPr>
              <w:t>1.</w:t>
            </w:r>
            <w:r w:rsidR="00F12019">
              <w:rPr>
                <w:noProof/>
                <w:szCs w:val="22"/>
                <w:lang w:eastAsia="pl-PL"/>
              </w:rPr>
              <w:tab/>
            </w:r>
            <w:r w:rsidR="00F12019" w:rsidRPr="00045C55">
              <w:rPr>
                <w:rStyle w:val="Hipercze"/>
                <w:noProof/>
              </w:rPr>
              <w:t>System wskaźników</w:t>
            </w:r>
            <w:r w:rsidR="00F12019">
              <w:rPr>
                <w:noProof/>
                <w:webHidden/>
              </w:rPr>
              <w:tab/>
            </w:r>
            <w:r w:rsidR="00F12019">
              <w:rPr>
                <w:noProof/>
                <w:webHidden/>
              </w:rPr>
              <w:fldChar w:fldCharType="begin"/>
            </w:r>
            <w:r w:rsidR="00F12019">
              <w:rPr>
                <w:noProof/>
                <w:webHidden/>
              </w:rPr>
              <w:instrText xml:space="preserve"> PAGEREF _Toc141428616 \h </w:instrText>
            </w:r>
            <w:r w:rsidR="00F12019">
              <w:rPr>
                <w:noProof/>
                <w:webHidden/>
              </w:rPr>
            </w:r>
            <w:r w:rsidR="00F12019">
              <w:rPr>
                <w:noProof/>
                <w:webHidden/>
              </w:rPr>
              <w:fldChar w:fldCharType="separate"/>
            </w:r>
            <w:r>
              <w:rPr>
                <w:noProof/>
                <w:webHidden/>
              </w:rPr>
              <w:t>3</w:t>
            </w:r>
            <w:r w:rsidR="00F12019">
              <w:rPr>
                <w:noProof/>
                <w:webHidden/>
              </w:rPr>
              <w:fldChar w:fldCharType="end"/>
            </w:r>
          </w:hyperlink>
        </w:p>
        <w:p w14:paraId="1B2042CD" w14:textId="1399F0E2" w:rsidR="00F12019" w:rsidRDefault="00954891" w:rsidP="0041610C">
          <w:pPr>
            <w:pStyle w:val="Spistreci2"/>
            <w:tabs>
              <w:tab w:val="left" w:pos="880"/>
            </w:tabs>
            <w:ind w:firstLine="142"/>
            <w:rPr>
              <w:noProof/>
              <w:szCs w:val="22"/>
              <w:lang w:eastAsia="pl-PL"/>
            </w:rPr>
          </w:pPr>
          <w:hyperlink w:anchor="_Toc141428617" w:history="1">
            <w:r w:rsidR="00F12019" w:rsidRPr="00045C55">
              <w:rPr>
                <w:rStyle w:val="Hipercze"/>
                <w:noProof/>
              </w:rPr>
              <w:t>1.1.</w:t>
            </w:r>
            <w:r w:rsidR="00F12019">
              <w:rPr>
                <w:noProof/>
                <w:szCs w:val="22"/>
                <w:lang w:eastAsia="pl-PL"/>
              </w:rPr>
              <w:tab/>
            </w:r>
            <w:r w:rsidR="00F12019" w:rsidRPr="00045C55">
              <w:rPr>
                <w:rStyle w:val="Hipercze"/>
                <w:noProof/>
              </w:rPr>
              <w:t>Struktura wskaźników</w:t>
            </w:r>
            <w:r w:rsidR="00F12019">
              <w:rPr>
                <w:noProof/>
                <w:webHidden/>
              </w:rPr>
              <w:tab/>
            </w:r>
            <w:r w:rsidR="00F12019">
              <w:rPr>
                <w:noProof/>
                <w:webHidden/>
              </w:rPr>
              <w:fldChar w:fldCharType="begin"/>
            </w:r>
            <w:r w:rsidR="00F12019">
              <w:rPr>
                <w:noProof/>
                <w:webHidden/>
              </w:rPr>
              <w:instrText xml:space="preserve"> PAGEREF _Toc141428617 \h </w:instrText>
            </w:r>
            <w:r w:rsidR="00F12019">
              <w:rPr>
                <w:noProof/>
                <w:webHidden/>
              </w:rPr>
            </w:r>
            <w:r w:rsidR="00F12019">
              <w:rPr>
                <w:noProof/>
                <w:webHidden/>
              </w:rPr>
              <w:fldChar w:fldCharType="separate"/>
            </w:r>
            <w:r>
              <w:rPr>
                <w:noProof/>
                <w:webHidden/>
              </w:rPr>
              <w:t>3</w:t>
            </w:r>
            <w:r w:rsidR="00F12019">
              <w:rPr>
                <w:noProof/>
                <w:webHidden/>
              </w:rPr>
              <w:fldChar w:fldCharType="end"/>
            </w:r>
          </w:hyperlink>
        </w:p>
        <w:p w14:paraId="3FAF778F" w14:textId="7F2B163A" w:rsidR="00F12019" w:rsidRDefault="00954891" w:rsidP="0041610C">
          <w:pPr>
            <w:pStyle w:val="Spistreci2"/>
            <w:tabs>
              <w:tab w:val="left" w:pos="880"/>
            </w:tabs>
            <w:ind w:firstLine="142"/>
            <w:rPr>
              <w:noProof/>
              <w:szCs w:val="22"/>
              <w:lang w:eastAsia="pl-PL"/>
            </w:rPr>
          </w:pPr>
          <w:hyperlink w:anchor="_Toc141428618" w:history="1">
            <w:r w:rsidR="00F12019" w:rsidRPr="00045C55">
              <w:rPr>
                <w:rStyle w:val="Hipercze"/>
                <w:noProof/>
              </w:rPr>
              <w:t>1.2.</w:t>
            </w:r>
            <w:r w:rsidR="00F12019">
              <w:rPr>
                <w:noProof/>
                <w:szCs w:val="22"/>
                <w:lang w:eastAsia="pl-PL"/>
              </w:rPr>
              <w:tab/>
            </w:r>
            <w:r w:rsidR="00F12019" w:rsidRPr="00045C55">
              <w:rPr>
                <w:rStyle w:val="Hipercze"/>
                <w:noProof/>
              </w:rPr>
              <w:t>Monitorowanie postępu rzeczowego</w:t>
            </w:r>
            <w:r w:rsidR="00F12019">
              <w:rPr>
                <w:noProof/>
                <w:webHidden/>
              </w:rPr>
              <w:tab/>
            </w:r>
            <w:r w:rsidR="00F12019">
              <w:rPr>
                <w:noProof/>
                <w:webHidden/>
              </w:rPr>
              <w:fldChar w:fldCharType="begin"/>
            </w:r>
            <w:r w:rsidR="00F12019">
              <w:rPr>
                <w:noProof/>
                <w:webHidden/>
              </w:rPr>
              <w:instrText xml:space="preserve"> PAGEREF _Toc141428618 \h </w:instrText>
            </w:r>
            <w:r w:rsidR="00F12019">
              <w:rPr>
                <w:noProof/>
                <w:webHidden/>
              </w:rPr>
            </w:r>
            <w:r w:rsidR="00F12019">
              <w:rPr>
                <w:noProof/>
                <w:webHidden/>
              </w:rPr>
              <w:fldChar w:fldCharType="separate"/>
            </w:r>
            <w:r>
              <w:rPr>
                <w:noProof/>
                <w:webHidden/>
              </w:rPr>
              <w:t>3</w:t>
            </w:r>
            <w:r w:rsidR="00F12019">
              <w:rPr>
                <w:noProof/>
                <w:webHidden/>
              </w:rPr>
              <w:fldChar w:fldCharType="end"/>
            </w:r>
          </w:hyperlink>
        </w:p>
        <w:p w14:paraId="498A6E8F" w14:textId="3B59AD4D" w:rsidR="00F12019" w:rsidRDefault="00954891" w:rsidP="0041610C">
          <w:pPr>
            <w:pStyle w:val="Spistreci1"/>
            <w:rPr>
              <w:noProof/>
              <w:szCs w:val="22"/>
              <w:lang w:eastAsia="pl-PL"/>
            </w:rPr>
          </w:pPr>
          <w:hyperlink w:anchor="_Toc141428619" w:history="1">
            <w:r w:rsidR="00F12019" w:rsidRPr="00045C55">
              <w:rPr>
                <w:rStyle w:val="Hipercze"/>
                <w:noProof/>
              </w:rPr>
              <w:t>2.</w:t>
            </w:r>
            <w:r w:rsidR="00F12019">
              <w:rPr>
                <w:noProof/>
                <w:szCs w:val="22"/>
                <w:lang w:eastAsia="pl-PL"/>
              </w:rPr>
              <w:tab/>
            </w:r>
            <w:r w:rsidR="00F12019" w:rsidRPr="00045C55">
              <w:rPr>
                <w:rStyle w:val="Hipercze"/>
                <w:noProof/>
              </w:rPr>
              <w:t>Typologia wskaźników</w:t>
            </w:r>
            <w:r w:rsidR="00F12019">
              <w:rPr>
                <w:noProof/>
                <w:webHidden/>
              </w:rPr>
              <w:tab/>
            </w:r>
            <w:r w:rsidR="00F12019">
              <w:rPr>
                <w:noProof/>
                <w:webHidden/>
              </w:rPr>
              <w:fldChar w:fldCharType="begin"/>
            </w:r>
            <w:r w:rsidR="00F12019">
              <w:rPr>
                <w:noProof/>
                <w:webHidden/>
              </w:rPr>
              <w:instrText xml:space="preserve"> PAGEREF _Toc141428619 \h </w:instrText>
            </w:r>
            <w:r w:rsidR="00F12019">
              <w:rPr>
                <w:noProof/>
                <w:webHidden/>
              </w:rPr>
            </w:r>
            <w:r w:rsidR="00F12019">
              <w:rPr>
                <w:noProof/>
                <w:webHidden/>
              </w:rPr>
              <w:fldChar w:fldCharType="separate"/>
            </w:r>
            <w:r>
              <w:rPr>
                <w:noProof/>
                <w:webHidden/>
              </w:rPr>
              <w:t>4</w:t>
            </w:r>
            <w:r w:rsidR="00F12019">
              <w:rPr>
                <w:noProof/>
                <w:webHidden/>
              </w:rPr>
              <w:fldChar w:fldCharType="end"/>
            </w:r>
          </w:hyperlink>
        </w:p>
        <w:p w14:paraId="5EC033F9" w14:textId="6F74D06B" w:rsidR="00F12019" w:rsidRDefault="00954891" w:rsidP="0041610C">
          <w:pPr>
            <w:pStyle w:val="Spistreci1"/>
            <w:rPr>
              <w:noProof/>
              <w:szCs w:val="22"/>
              <w:lang w:eastAsia="pl-PL"/>
            </w:rPr>
          </w:pPr>
          <w:hyperlink w:anchor="_Toc141428620" w:history="1">
            <w:r w:rsidR="00F12019" w:rsidRPr="00045C55">
              <w:rPr>
                <w:rStyle w:val="Hipercze"/>
                <w:noProof/>
              </w:rPr>
              <w:t>3.</w:t>
            </w:r>
            <w:r w:rsidR="00F12019">
              <w:rPr>
                <w:noProof/>
                <w:szCs w:val="22"/>
                <w:lang w:eastAsia="pl-PL"/>
              </w:rPr>
              <w:tab/>
            </w:r>
            <w:r w:rsidR="00F12019" w:rsidRPr="00045C55">
              <w:rPr>
                <w:rStyle w:val="Hipercze"/>
                <w:noProof/>
              </w:rPr>
              <w:t>Szczegółowe zasady dotyczące monitorowania wskaźników</w:t>
            </w:r>
            <w:r w:rsidR="00F12019">
              <w:rPr>
                <w:noProof/>
                <w:webHidden/>
              </w:rPr>
              <w:tab/>
            </w:r>
            <w:r w:rsidR="00F12019">
              <w:rPr>
                <w:noProof/>
                <w:webHidden/>
              </w:rPr>
              <w:fldChar w:fldCharType="begin"/>
            </w:r>
            <w:r w:rsidR="00F12019">
              <w:rPr>
                <w:noProof/>
                <w:webHidden/>
              </w:rPr>
              <w:instrText xml:space="preserve"> PAGEREF _Toc141428620 \h </w:instrText>
            </w:r>
            <w:r w:rsidR="00F12019">
              <w:rPr>
                <w:noProof/>
                <w:webHidden/>
              </w:rPr>
            </w:r>
            <w:r w:rsidR="00F12019">
              <w:rPr>
                <w:noProof/>
                <w:webHidden/>
              </w:rPr>
              <w:fldChar w:fldCharType="separate"/>
            </w:r>
            <w:r>
              <w:rPr>
                <w:noProof/>
                <w:webHidden/>
              </w:rPr>
              <w:t>5</w:t>
            </w:r>
            <w:r w:rsidR="00F12019">
              <w:rPr>
                <w:noProof/>
                <w:webHidden/>
              </w:rPr>
              <w:fldChar w:fldCharType="end"/>
            </w:r>
          </w:hyperlink>
        </w:p>
        <w:p w14:paraId="0E96B100" w14:textId="3192DE2C" w:rsidR="00F12019" w:rsidRDefault="00954891" w:rsidP="0041610C">
          <w:pPr>
            <w:pStyle w:val="Spistreci2"/>
            <w:tabs>
              <w:tab w:val="left" w:pos="880"/>
            </w:tabs>
            <w:ind w:firstLine="142"/>
            <w:rPr>
              <w:noProof/>
              <w:szCs w:val="22"/>
              <w:lang w:eastAsia="pl-PL"/>
            </w:rPr>
          </w:pPr>
          <w:hyperlink w:anchor="_Toc141428621" w:history="1">
            <w:r w:rsidR="00F12019" w:rsidRPr="00045C55">
              <w:rPr>
                <w:rStyle w:val="Hipercze"/>
                <w:noProof/>
              </w:rPr>
              <w:t>3.1.</w:t>
            </w:r>
            <w:r w:rsidR="00F12019">
              <w:rPr>
                <w:noProof/>
                <w:szCs w:val="22"/>
                <w:lang w:eastAsia="pl-PL"/>
              </w:rPr>
              <w:tab/>
            </w:r>
            <w:r w:rsidR="00F12019" w:rsidRPr="00045C55">
              <w:rPr>
                <w:rStyle w:val="Hipercze"/>
                <w:noProof/>
              </w:rPr>
              <w:t>Definicja uczestnika i podmiotu objętego wsparciem</w:t>
            </w:r>
            <w:r w:rsidR="00F12019">
              <w:rPr>
                <w:noProof/>
                <w:webHidden/>
              </w:rPr>
              <w:tab/>
            </w:r>
            <w:r w:rsidR="00F12019">
              <w:rPr>
                <w:noProof/>
                <w:webHidden/>
              </w:rPr>
              <w:fldChar w:fldCharType="begin"/>
            </w:r>
            <w:r w:rsidR="00F12019">
              <w:rPr>
                <w:noProof/>
                <w:webHidden/>
              </w:rPr>
              <w:instrText xml:space="preserve"> PAGEREF _Toc141428621 \h </w:instrText>
            </w:r>
            <w:r w:rsidR="00F12019">
              <w:rPr>
                <w:noProof/>
                <w:webHidden/>
              </w:rPr>
            </w:r>
            <w:r w:rsidR="00F12019">
              <w:rPr>
                <w:noProof/>
                <w:webHidden/>
              </w:rPr>
              <w:fldChar w:fldCharType="separate"/>
            </w:r>
            <w:r>
              <w:rPr>
                <w:noProof/>
                <w:webHidden/>
              </w:rPr>
              <w:t>5</w:t>
            </w:r>
            <w:r w:rsidR="00F12019">
              <w:rPr>
                <w:noProof/>
                <w:webHidden/>
              </w:rPr>
              <w:fldChar w:fldCharType="end"/>
            </w:r>
          </w:hyperlink>
        </w:p>
        <w:p w14:paraId="461102CC" w14:textId="4D7B6AE1" w:rsidR="00F12019" w:rsidRDefault="00954891" w:rsidP="0041610C">
          <w:pPr>
            <w:pStyle w:val="Spistreci2"/>
            <w:tabs>
              <w:tab w:val="left" w:pos="880"/>
            </w:tabs>
            <w:ind w:firstLine="142"/>
            <w:rPr>
              <w:noProof/>
              <w:szCs w:val="22"/>
              <w:lang w:eastAsia="pl-PL"/>
            </w:rPr>
          </w:pPr>
          <w:hyperlink w:anchor="_Toc141428622" w:history="1">
            <w:r w:rsidR="00F12019" w:rsidRPr="00045C55">
              <w:rPr>
                <w:rStyle w:val="Hipercze"/>
                <w:noProof/>
              </w:rPr>
              <w:t>3.2</w:t>
            </w:r>
            <w:r w:rsidR="00F12019">
              <w:rPr>
                <w:noProof/>
                <w:szCs w:val="22"/>
                <w:lang w:eastAsia="pl-PL"/>
              </w:rPr>
              <w:tab/>
            </w:r>
            <w:r w:rsidR="00F12019" w:rsidRPr="00045C55">
              <w:rPr>
                <w:rStyle w:val="Hipercze"/>
                <w:noProof/>
              </w:rPr>
              <w:t>Zasady dotyczące doboru wskaźników w projekcie</w:t>
            </w:r>
            <w:r w:rsidR="00F12019">
              <w:rPr>
                <w:noProof/>
                <w:webHidden/>
              </w:rPr>
              <w:tab/>
            </w:r>
            <w:r w:rsidR="00F12019">
              <w:rPr>
                <w:noProof/>
                <w:webHidden/>
              </w:rPr>
              <w:fldChar w:fldCharType="begin"/>
            </w:r>
            <w:r w:rsidR="00F12019">
              <w:rPr>
                <w:noProof/>
                <w:webHidden/>
              </w:rPr>
              <w:instrText xml:space="preserve"> PAGEREF _Toc141428622 \h </w:instrText>
            </w:r>
            <w:r w:rsidR="00F12019">
              <w:rPr>
                <w:noProof/>
                <w:webHidden/>
              </w:rPr>
            </w:r>
            <w:r w:rsidR="00F12019">
              <w:rPr>
                <w:noProof/>
                <w:webHidden/>
              </w:rPr>
              <w:fldChar w:fldCharType="separate"/>
            </w:r>
            <w:r>
              <w:rPr>
                <w:noProof/>
                <w:webHidden/>
              </w:rPr>
              <w:t>5</w:t>
            </w:r>
            <w:r w:rsidR="00F12019">
              <w:rPr>
                <w:noProof/>
                <w:webHidden/>
              </w:rPr>
              <w:fldChar w:fldCharType="end"/>
            </w:r>
          </w:hyperlink>
        </w:p>
        <w:p w14:paraId="15A535FC" w14:textId="6EE1193E" w:rsidR="00F12019" w:rsidRDefault="00954891" w:rsidP="0041610C">
          <w:pPr>
            <w:pStyle w:val="Spistreci2"/>
            <w:tabs>
              <w:tab w:val="left" w:pos="880"/>
            </w:tabs>
            <w:ind w:firstLine="142"/>
            <w:rPr>
              <w:noProof/>
              <w:szCs w:val="22"/>
              <w:lang w:eastAsia="pl-PL"/>
            </w:rPr>
          </w:pPr>
          <w:hyperlink w:anchor="_Toc141428623" w:history="1">
            <w:r w:rsidR="00F12019" w:rsidRPr="00045C55">
              <w:rPr>
                <w:rStyle w:val="Hipercze"/>
                <w:noProof/>
              </w:rPr>
              <w:t>3.3</w:t>
            </w:r>
            <w:r w:rsidR="00F12019">
              <w:rPr>
                <w:noProof/>
                <w:szCs w:val="22"/>
                <w:lang w:eastAsia="pl-PL"/>
              </w:rPr>
              <w:tab/>
            </w:r>
            <w:r w:rsidR="00F12019" w:rsidRPr="00045C55">
              <w:rPr>
                <w:rStyle w:val="Hipercze"/>
                <w:noProof/>
              </w:rPr>
              <w:t>Zasady dotyczące pomiaru wskaźników w projekcie</w:t>
            </w:r>
            <w:r w:rsidR="00F12019">
              <w:rPr>
                <w:noProof/>
                <w:webHidden/>
              </w:rPr>
              <w:tab/>
            </w:r>
            <w:r w:rsidR="00F12019">
              <w:rPr>
                <w:noProof/>
                <w:webHidden/>
              </w:rPr>
              <w:fldChar w:fldCharType="begin"/>
            </w:r>
            <w:r w:rsidR="00F12019">
              <w:rPr>
                <w:noProof/>
                <w:webHidden/>
              </w:rPr>
              <w:instrText xml:space="preserve"> PAGEREF _Toc141428623 \h </w:instrText>
            </w:r>
            <w:r w:rsidR="00F12019">
              <w:rPr>
                <w:noProof/>
                <w:webHidden/>
              </w:rPr>
            </w:r>
            <w:r w:rsidR="00F12019">
              <w:rPr>
                <w:noProof/>
                <w:webHidden/>
              </w:rPr>
              <w:fldChar w:fldCharType="separate"/>
            </w:r>
            <w:r>
              <w:rPr>
                <w:noProof/>
                <w:webHidden/>
              </w:rPr>
              <w:t>6</w:t>
            </w:r>
            <w:r w:rsidR="00F12019">
              <w:rPr>
                <w:noProof/>
                <w:webHidden/>
              </w:rPr>
              <w:fldChar w:fldCharType="end"/>
            </w:r>
          </w:hyperlink>
        </w:p>
        <w:p w14:paraId="7E14D145" w14:textId="269D3240" w:rsidR="00F12019" w:rsidRDefault="00954891" w:rsidP="0041610C">
          <w:pPr>
            <w:pStyle w:val="Spistreci2"/>
            <w:tabs>
              <w:tab w:val="left" w:pos="880"/>
            </w:tabs>
            <w:ind w:firstLine="142"/>
            <w:rPr>
              <w:noProof/>
              <w:szCs w:val="22"/>
              <w:lang w:eastAsia="pl-PL"/>
            </w:rPr>
          </w:pPr>
          <w:hyperlink w:anchor="_Toc141428624" w:history="1">
            <w:r w:rsidR="00F12019" w:rsidRPr="00045C55">
              <w:rPr>
                <w:rStyle w:val="Hipercze"/>
                <w:noProof/>
              </w:rPr>
              <w:t>3.4</w:t>
            </w:r>
            <w:r w:rsidR="00F12019">
              <w:rPr>
                <w:noProof/>
                <w:szCs w:val="22"/>
                <w:lang w:eastAsia="pl-PL"/>
              </w:rPr>
              <w:tab/>
            </w:r>
            <w:r w:rsidR="00F12019" w:rsidRPr="00045C55">
              <w:rPr>
                <w:rStyle w:val="Hipercze"/>
                <w:noProof/>
              </w:rPr>
              <w:t>Moment pomiaru wskaźników</w:t>
            </w:r>
            <w:r w:rsidR="00F12019">
              <w:rPr>
                <w:noProof/>
                <w:webHidden/>
              </w:rPr>
              <w:tab/>
            </w:r>
            <w:r w:rsidR="00F12019">
              <w:rPr>
                <w:noProof/>
                <w:webHidden/>
              </w:rPr>
              <w:fldChar w:fldCharType="begin"/>
            </w:r>
            <w:r w:rsidR="00F12019">
              <w:rPr>
                <w:noProof/>
                <w:webHidden/>
              </w:rPr>
              <w:instrText xml:space="preserve"> PAGEREF _Toc141428624 \h </w:instrText>
            </w:r>
            <w:r w:rsidR="00F12019">
              <w:rPr>
                <w:noProof/>
                <w:webHidden/>
              </w:rPr>
            </w:r>
            <w:r w:rsidR="00F12019">
              <w:rPr>
                <w:noProof/>
                <w:webHidden/>
              </w:rPr>
              <w:fldChar w:fldCharType="separate"/>
            </w:r>
            <w:r>
              <w:rPr>
                <w:noProof/>
                <w:webHidden/>
              </w:rPr>
              <w:t>8</w:t>
            </w:r>
            <w:r w:rsidR="00F12019">
              <w:rPr>
                <w:noProof/>
                <w:webHidden/>
              </w:rPr>
              <w:fldChar w:fldCharType="end"/>
            </w:r>
          </w:hyperlink>
        </w:p>
        <w:p w14:paraId="7FAD4444" w14:textId="712BD75D" w:rsidR="00F12019" w:rsidRDefault="00954891" w:rsidP="0041610C">
          <w:pPr>
            <w:pStyle w:val="Spistreci1"/>
            <w:rPr>
              <w:noProof/>
              <w:szCs w:val="22"/>
              <w:lang w:eastAsia="pl-PL"/>
            </w:rPr>
          </w:pPr>
          <w:hyperlink w:anchor="_Toc141428625" w:history="1">
            <w:r w:rsidR="00F12019" w:rsidRPr="00045C55">
              <w:rPr>
                <w:rStyle w:val="Hipercze"/>
                <w:noProof/>
              </w:rPr>
              <w:t>4.</w:t>
            </w:r>
            <w:r w:rsidR="00F12019">
              <w:rPr>
                <w:noProof/>
                <w:szCs w:val="22"/>
                <w:lang w:eastAsia="pl-PL"/>
              </w:rPr>
              <w:tab/>
            </w:r>
            <w:r w:rsidR="00F12019" w:rsidRPr="00045C55">
              <w:rPr>
                <w:rStyle w:val="Hipercze"/>
                <w:noProof/>
              </w:rPr>
              <w:t>Dane uczestników i podmiotów biorących udział w projektach</w:t>
            </w:r>
            <w:r w:rsidR="00F12019">
              <w:rPr>
                <w:noProof/>
                <w:webHidden/>
              </w:rPr>
              <w:tab/>
            </w:r>
            <w:r w:rsidR="00F12019">
              <w:rPr>
                <w:noProof/>
                <w:webHidden/>
              </w:rPr>
              <w:fldChar w:fldCharType="begin"/>
            </w:r>
            <w:r w:rsidR="00F12019">
              <w:rPr>
                <w:noProof/>
                <w:webHidden/>
              </w:rPr>
              <w:instrText xml:space="preserve"> PAGEREF _Toc141428625 \h </w:instrText>
            </w:r>
            <w:r w:rsidR="00F12019">
              <w:rPr>
                <w:noProof/>
                <w:webHidden/>
              </w:rPr>
            </w:r>
            <w:r w:rsidR="00F12019">
              <w:rPr>
                <w:noProof/>
                <w:webHidden/>
              </w:rPr>
              <w:fldChar w:fldCharType="separate"/>
            </w:r>
            <w:r>
              <w:rPr>
                <w:noProof/>
                <w:webHidden/>
              </w:rPr>
              <w:t>9</w:t>
            </w:r>
            <w:r w:rsidR="00F12019">
              <w:rPr>
                <w:noProof/>
                <w:webHidden/>
              </w:rPr>
              <w:fldChar w:fldCharType="end"/>
            </w:r>
          </w:hyperlink>
        </w:p>
        <w:p w14:paraId="3520DCD0" w14:textId="169F1205" w:rsidR="00F12019" w:rsidRDefault="00954891" w:rsidP="0041610C">
          <w:pPr>
            <w:pStyle w:val="Spistreci2"/>
            <w:tabs>
              <w:tab w:val="left" w:pos="880"/>
            </w:tabs>
            <w:ind w:firstLine="142"/>
            <w:rPr>
              <w:noProof/>
              <w:szCs w:val="22"/>
              <w:lang w:eastAsia="pl-PL"/>
            </w:rPr>
          </w:pPr>
          <w:hyperlink w:anchor="_Toc141428626" w:history="1">
            <w:r w:rsidR="00F12019" w:rsidRPr="00045C55">
              <w:rPr>
                <w:rStyle w:val="Hipercze"/>
                <w:noProof/>
              </w:rPr>
              <w:t>4.1</w:t>
            </w:r>
            <w:r w:rsidR="00F12019">
              <w:rPr>
                <w:noProof/>
                <w:szCs w:val="22"/>
                <w:lang w:eastAsia="pl-PL"/>
              </w:rPr>
              <w:tab/>
            </w:r>
            <w:r w:rsidR="00F12019" w:rsidRPr="00045C55">
              <w:rPr>
                <w:rStyle w:val="Hipercze"/>
                <w:noProof/>
              </w:rPr>
              <w:t>Jakość danych</w:t>
            </w:r>
            <w:r w:rsidR="00F12019">
              <w:rPr>
                <w:noProof/>
                <w:webHidden/>
              </w:rPr>
              <w:tab/>
            </w:r>
            <w:r w:rsidR="00F12019">
              <w:rPr>
                <w:noProof/>
                <w:webHidden/>
              </w:rPr>
              <w:fldChar w:fldCharType="begin"/>
            </w:r>
            <w:r w:rsidR="00F12019">
              <w:rPr>
                <w:noProof/>
                <w:webHidden/>
              </w:rPr>
              <w:instrText xml:space="preserve"> PAGEREF _Toc141428626 \h </w:instrText>
            </w:r>
            <w:r w:rsidR="00F12019">
              <w:rPr>
                <w:noProof/>
                <w:webHidden/>
              </w:rPr>
            </w:r>
            <w:r w:rsidR="00F12019">
              <w:rPr>
                <w:noProof/>
                <w:webHidden/>
              </w:rPr>
              <w:fldChar w:fldCharType="separate"/>
            </w:r>
            <w:r>
              <w:rPr>
                <w:noProof/>
                <w:webHidden/>
              </w:rPr>
              <w:t>9</w:t>
            </w:r>
            <w:r w:rsidR="00F12019">
              <w:rPr>
                <w:noProof/>
                <w:webHidden/>
              </w:rPr>
              <w:fldChar w:fldCharType="end"/>
            </w:r>
          </w:hyperlink>
        </w:p>
        <w:p w14:paraId="48C3F7FF" w14:textId="121EB6AF" w:rsidR="00F12019" w:rsidRDefault="00954891" w:rsidP="0041610C">
          <w:pPr>
            <w:pStyle w:val="Spistreci2"/>
            <w:tabs>
              <w:tab w:val="left" w:pos="880"/>
            </w:tabs>
            <w:ind w:firstLine="142"/>
            <w:rPr>
              <w:noProof/>
              <w:szCs w:val="22"/>
              <w:lang w:eastAsia="pl-PL"/>
            </w:rPr>
          </w:pPr>
          <w:hyperlink w:anchor="_Toc141428627" w:history="1">
            <w:r w:rsidR="00F12019" w:rsidRPr="00045C55">
              <w:rPr>
                <w:rStyle w:val="Hipercze"/>
                <w:noProof/>
              </w:rPr>
              <w:t>4.2</w:t>
            </w:r>
            <w:r w:rsidR="00F12019">
              <w:rPr>
                <w:noProof/>
                <w:szCs w:val="22"/>
                <w:lang w:eastAsia="pl-PL"/>
              </w:rPr>
              <w:tab/>
            </w:r>
            <w:r w:rsidR="00F12019" w:rsidRPr="00045C55">
              <w:rPr>
                <w:rStyle w:val="Hipercze"/>
                <w:noProof/>
              </w:rPr>
              <w:t>Przetwarzanie i agregowanie danych w CST2021</w:t>
            </w:r>
            <w:r w:rsidR="00F12019">
              <w:rPr>
                <w:noProof/>
                <w:webHidden/>
              </w:rPr>
              <w:tab/>
            </w:r>
            <w:r w:rsidR="00F12019">
              <w:rPr>
                <w:noProof/>
                <w:webHidden/>
              </w:rPr>
              <w:fldChar w:fldCharType="begin"/>
            </w:r>
            <w:r w:rsidR="00F12019">
              <w:rPr>
                <w:noProof/>
                <w:webHidden/>
              </w:rPr>
              <w:instrText xml:space="preserve"> PAGEREF _Toc141428627 \h </w:instrText>
            </w:r>
            <w:r w:rsidR="00F12019">
              <w:rPr>
                <w:noProof/>
                <w:webHidden/>
              </w:rPr>
            </w:r>
            <w:r w:rsidR="00F12019">
              <w:rPr>
                <w:noProof/>
                <w:webHidden/>
              </w:rPr>
              <w:fldChar w:fldCharType="separate"/>
            </w:r>
            <w:r>
              <w:rPr>
                <w:noProof/>
                <w:webHidden/>
              </w:rPr>
              <w:t>9</w:t>
            </w:r>
            <w:r w:rsidR="00F12019">
              <w:rPr>
                <w:noProof/>
                <w:webHidden/>
              </w:rPr>
              <w:fldChar w:fldCharType="end"/>
            </w:r>
          </w:hyperlink>
        </w:p>
        <w:p w14:paraId="210DC2B6" w14:textId="720F2A0B" w:rsidR="00F12019" w:rsidRDefault="00954891" w:rsidP="0041610C">
          <w:pPr>
            <w:pStyle w:val="Spistreci2"/>
            <w:tabs>
              <w:tab w:val="left" w:pos="880"/>
            </w:tabs>
            <w:ind w:firstLine="142"/>
            <w:rPr>
              <w:noProof/>
              <w:szCs w:val="22"/>
              <w:lang w:eastAsia="pl-PL"/>
            </w:rPr>
          </w:pPr>
          <w:hyperlink w:anchor="_Toc141428628" w:history="1">
            <w:r w:rsidR="00F12019" w:rsidRPr="00045C55">
              <w:rPr>
                <w:rStyle w:val="Hipercze"/>
                <w:noProof/>
              </w:rPr>
              <w:t>4.3</w:t>
            </w:r>
            <w:r w:rsidR="00F12019">
              <w:rPr>
                <w:noProof/>
                <w:szCs w:val="22"/>
                <w:lang w:eastAsia="pl-PL"/>
              </w:rPr>
              <w:tab/>
            </w:r>
            <w:r w:rsidR="00F12019" w:rsidRPr="00045C55">
              <w:rPr>
                <w:rStyle w:val="Hipercze"/>
                <w:noProof/>
              </w:rPr>
              <w:t>Zakres danych dotyczących uczestników projektów</w:t>
            </w:r>
            <w:r w:rsidR="00F12019">
              <w:rPr>
                <w:noProof/>
                <w:webHidden/>
              </w:rPr>
              <w:tab/>
            </w:r>
            <w:r w:rsidR="00F12019">
              <w:rPr>
                <w:noProof/>
                <w:webHidden/>
              </w:rPr>
              <w:fldChar w:fldCharType="begin"/>
            </w:r>
            <w:r w:rsidR="00F12019">
              <w:rPr>
                <w:noProof/>
                <w:webHidden/>
              </w:rPr>
              <w:instrText xml:space="preserve"> PAGEREF _Toc141428628 \h </w:instrText>
            </w:r>
            <w:r w:rsidR="00F12019">
              <w:rPr>
                <w:noProof/>
                <w:webHidden/>
              </w:rPr>
            </w:r>
            <w:r w:rsidR="00F12019">
              <w:rPr>
                <w:noProof/>
                <w:webHidden/>
              </w:rPr>
              <w:fldChar w:fldCharType="separate"/>
            </w:r>
            <w:r>
              <w:rPr>
                <w:noProof/>
                <w:webHidden/>
              </w:rPr>
              <w:t>11</w:t>
            </w:r>
            <w:r w:rsidR="00F12019">
              <w:rPr>
                <w:noProof/>
                <w:webHidden/>
              </w:rPr>
              <w:fldChar w:fldCharType="end"/>
            </w:r>
          </w:hyperlink>
        </w:p>
        <w:p w14:paraId="27F38820" w14:textId="319302AC" w:rsidR="00F12019" w:rsidRDefault="00954891" w:rsidP="0041610C">
          <w:pPr>
            <w:pStyle w:val="Spistreci1"/>
            <w:rPr>
              <w:noProof/>
              <w:szCs w:val="22"/>
              <w:lang w:eastAsia="pl-PL"/>
            </w:rPr>
          </w:pPr>
          <w:hyperlink w:anchor="_Toc141428629" w:history="1">
            <w:r w:rsidR="00F12019" w:rsidRPr="00045C55">
              <w:rPr>
                <w:rStyle w:val="Hipercze"/>
                <w:noProof/>
              </w:rPr>
              <w:t>5.</w:t>
            </w:r>
            <w:r w:rsidR="00F12019">
              <w:rPr>
                <w:noProof/>
                <w:szCs w:val="22"/>
                <w:lang w:eastAsia="pl-PL"/>
              </w:rPr>
              <w:tab/>
            </w:r>
            <w:r w:rsidR="00F12019" w:rsidRPr="00045C55">
              <w:rPr>
                <w:rStyle w:val="Hipercze"/>
                <w:noProof/>
              </w:rPr>
              <w:t>Załączniki do zasad pomiaru wskaźników w projekcie dofinansowanym z Europejskiego Funduszu Społecznego Plus w ramach programu regionalnego Fundusze Europejskie dla Pomorza 2021-2027</w:t>
            </w:r>
            <w:r w:rsidR="00F12019">
              <w:rPr>
                <w:noProof/>
                <w:webHidden/>
              </w:rPr>
              <w:tab/>
            </w:r>
            <w:r w:rsidR="00F12019">
              <w:rPr>
                <w:noProof/>
                <w:webHidden/>
              </w:rPr>
              <w:fldChar w:fldCharType="begin"/>
            </w:r>
            <w:r w:rsidR="00F12019">
              <w:rPr>
                <w:noProof/>
                <w:webHidden/>
              </w:rPr>
              <w:instrText xml:space="preserve"> PAGEREF _Toc141428629 \h </w:instrText>
            </w:r>
            <w:r w:rsidR="00F12019">
              <w:rPr>
                <w:noProof/>
                <w:webHidden/>
              </w:rPr>
            </w:r>
            <w:r w:rsidR="00F12019">
              <w:rPr>
                <w:noProof/>
                <w:webHidden/>
              </w:rPr>
              <w:fldChar w:fldCharType="separate"/>
            </w:r>
            <w:r>
              <w:rPr>
                <w:noProof/>
                <w:webHidden/>
              </w:rPr>
              <w:t>12</w:t>
            </w:r>
            <w:r w:rsidR="00F12019">
              <w:rPr>
                <w:noProof/>
                <w:webHidden/>
              </w:rPr>
              <w:fldChar w:fldCharType="end"/>
            </w:r>
          </w:hyperlink>
        </w:p>
        <w:p w14:paraId="44B9FC75" w14:textId="25C25F98" w:rsidR="00F12019" w:rsidRDefault="00954891" w:rsidP="0041610C">
          <w:pPr>
            <w:pStyle w:val="Spistreci2"/>
            <w:ind w:left="284" w:firstLine="142"/>
            <w:rPr>
              <w:noProof/>
              <w:szCs w:val="22"/>
              <w:lang w:eastAsia="pl-PL"/>
            </w:rPr>
          </w:pPr>
          <w:hyperlink w:anchor="_Toc141428630" w:history="1">
            <w:r w:rsidR="00F12019" w:rsidRPr="00045C55">
              <w:rPr>
                <w:rStyle w:val="Hipercze"/>
                <w:noProof/>
              </w:rPr>
              <w:t>Załącznik nr 1 - Wykaz wskaźników dla naboru wraz z definicjami</w:t>
            </w:r>
            <w:r w:rsidR="00F12019">
              <w:rPr>
                <w:noProof/>
                <w:webHidden/>
              </w:rPr>
              <w:tab/>
            </w:r>
            <w:r w:rsidR="00F12019">
              <w:rPr>
                <w:noProof/>
                <w:webHidden/>
              </w:rPr>
              <w:fldChar w:fldCharType="begin"/>
            </w:r>
            <w:r w:rsidR="00F12019">
              <w:rPr>
                <w:noProof/>
                <w:webHidden/>
              </w:rPr>
              <w:instrText xml:space="preserve"> PAGEREF _Toc141428630 \h </w:instrText>
            </w:r>
            <w:r w:rsidR="00F12019">
              <w:rPr>
                <w:noProof/>
                <w:webHidden/>
              </w:rPr>
            </w:r>
            <w:r w:rsidR="00F12019">
              <w:rPr>
                <w:noProof/>
                <w:webHidden/>
              </w:rPr>
              <w:fldChar w:fldCharType="separate"/>
            </w:r>
            <w:r>
              <w:rPr>
                <w:noProof/>
                <w:webHidden/>
              </w:rPr>
              <w:t>12</w:t>
            </w:r>
            <w:r w:rsidR="00F12019">
              <w:rPr>
                <w:noProof/>
                <w:webHidden/>
              </w:rPr>
              <w:fldChar w:fldCharType="end"/>
            </w:r>
          </w:hyperlink>
        </w:p>
        <w:p w14:paraId="2E16DD43" w14:textId="464D34A4" w:rsidR="00F12019" w:rsidRDefault="00954891" w:rsidP="0041610C">
          <w:pPr>
            <w:pStyle w:val="Spistreci2"/>
            <w:ind w:left="426"/>
            <w:rPr>
              <w:noProof/>
              <w:szCs w:val="22"/>
              <w:lang w:eastAsia="pl-PL"/>
            </w:rPr>
          </w:pPr>
          <w:hyperlink w:anchor="_Toc141428631" w:history="1">
            <w:r w:rsidR="00F12019" w:rsidRPr="00045C55">
              <w:rPr>
                <w:rStyle w:val="Hipercze"/>
                <w:noProof/>
              </w:rPr>
              <w:t>Załącznik nr 2 - Zakres danych nt. uczestników projektów współfinansowanych z EFS+ oraz podmiotów obejmowanych wsparciem gromadzonych w CST2021</w:t>
            </w:r>
            <w:r w:rsidR="00F12019">
              <w:rPr>
                <w:noProof/>
                <w:webHidden/>
              </w:rPr>
              <w:tab/>
            </w:r>
            <w:r w:rsidR="00F12019">
              <w:rPr>
                <w:noProof/>
                <w:webHidden/>
              </w:rPr>
              <w:fldChar w:fldCharType="begin"/>
            </w:r>
            <w:r w:rsidR="00F12019">
              <w:rPr>
                <w:noProof/>
                <w:webHidden/>
              </w:rPr>
              <w:instrText xml:space="preserve"> PAGEREF _Toc141428631 \h </w:instrText>
            </w:r>
            <w:r w:rsidR="00F12019">
              <w:rPr>
                <w:noProof/>
                <w:webHidden/>
              </w:rPr>
            </w:r>
            <w:r w:rsidR="00F12019">
              <w:rPr>
                <w:noProof/>
                <w:webHidden/>
              </w:rPr>
              <w:fldChar w:fldCharType="separate"/>
            </w:r>
            <w:r>
              <w:rPr>
                <w:noProof/>
                <w:webHidden/>
              </w:rPr>
              <w:t>20</w:t>
            </w:r>
            <w:r w:rsidR="00F12019">
              <w:rPr>
                <w:noProof/>
                <w:webHidden/>
              </w:rPr>
              <w:fldChar w:fldCharType="end"/>
            </w:r>
          </w:hyperlink>
        </w:p>
        <w:p w14:paraId="3E331521" w14:textId="03330F91" w:rsidR="00F12019" w:rsidRDefault="00954891" w:rsidP="0041610C">
          <w:pPr>
            <w:pStyle w:val="Spistreci2"/>
            <w:ind w:left="426"/>
            <w:rPr>
              <w:noProof/>
              <w:szCs w:val="22"/>
              <w:lang w:eastAsia="pl-PL"/>
            </w:rPr>
          </w:pPr>
          <w:hyperlink w:anchor="_Toc141428632" w:history="1">
            <w:r w:rsidR="00F12019" w:rsidRPr="00045C55">
              <w:rPr>
                <w:rStyle w:val="Hipercze"/>
                <w:noProof/>
              </w:rPr>
              <w:t>Załącznik nr 3 - Podstawowe informacje dotyczące uzyskiwania kwalifikacji w ramach projektów współfinansowanych z EFS+</w:t>
            </w:r>
            <w:r w:rsidR="00F12019">
              <w:rPr>
                <w:noProof/>
                <w:webHidden/>
              </w:rPr>
              <w:tab/>
            </w:r>
            <w:r w:rsidR="00F12019">
              <w:rPr>
                <w:noProof/>
                <w:webHidden/>
              </w:rPr>
              <w:fldChar w:fldCharType="begin"/>
            </w:r>
            <w:r w:rsidR="00F12019">
              <w:rPr>
                <w:noProof/>
                <w:webHidden/>
              </w:rPr>
              <w:instrText xml:space="preserve"> PAGEREF _Toc141428632 \h </w:instrText>
            </w:r>
            <w:r w:rsidR="00F12019">
              <w:rPr>
                <w:noProof/>
                <w:webHidden/>
              </w:rPr>
            </w:r>
            <w:r w:rsidR="00F12019">
              <w:rPr>
                <w:noProof/>
                <w:webHidden/>
              </w:rPr>
              <w:fldChar w:fldCharType="separate"/>
            </w:r>
            <w:r>
              <w:rPr>
                <w:noProof/>
                <w:webHidden/>
              </w:rPr>
              <w:t>27</w:t>
            </w:r>
            <w:r w:rsidR="00F12019">
              <w:rPr>
                <w:noProof/>
                <w:webHidden/>
              </w:rPr>
              <w:fldChar w:fldCharType="end"/>
            </w:r>
          </w:hyperlink>
        </w:p>
        <w:p w14:paraId="07A400AB" w14:textId="770CFE1E" w:rsidR="0084799B" w:rsidRPr="00372966" w:rsidRDefault="00954891" w:rsidP="0041610C">
          <w:pPr>
            <w:pStyle w:val="Spistreci2"/>
            <w:ind w:left="426"/>
            <w:rPr>
              <w:sz w:val="16"/>
              <w:szCs w:val="16"/>
            </w:rPr>
          </w:pPr>
          <w:hyperlink w:anchor="_Toc141428633" w:history="1">
            <w:r w:rsidR="00F12019" w:rsidRPr="00045C55">
              <w:rPr>
                <w:rStyle w:val="Hipercze"/>
                <w:noProof/>
              </w:rPr>
              <w:t>Załącznik nr 4 - Przykładowy wzór oświadczenia uczestnika projektu  nt. jego sytuacji po zakończeniu udziału w projekcie</w:t>
            </w:r>
            <w:r w:rsidR="00F12019">
              <w:rPr>
                <w:noProof/>
                <w:webHidden/>
              </w:rPr>
              <w:tab/>
            </w:r>
            <w:r w:rsidR="00F12019">
              <w:rPr>
                <w:noProof/>
                <w:webHidden/>
              </w:rPr>
              <w:fldChar w:fldCharType="begin"/>
            </w:r>
            <w:r w:rsidR="00F12019">
              <w:rPr>
                <w:noProof/>
                <w:webHidden/>
              </w:rPr>
              <w:instrText xml:space="preserve"> PAGEREF _Toc141428633 \h </w:instrText>
            </w:r>
            <w:r w:rsidR="00F12019">
              <w:rPr>
                <w:noProof/>
                <w:webHidden/>
              </w:rPr>
            </w:r>
            <w:r w:rsidR="00F12019">
              <w:rPr>
                <w:noProof/>
                <w:webHidden/>
              </w:rPr>
              <w:fldChar w:fldCharType="separate"/>
            </w:r>
            <w:r>
              <w:rPr>
                <w:noProof/>
                <w:webHidden/>
              </w:rPr>
              <w:t>42</w:t>
            </w:r>
            <w:r w:rsidR="00F12019">
              <w:rPr>
                <w:noProof/>
                <w:webHidden/>
              </w:rPr>
              <w:fldChar w:fldCharType="end"/>
            </w:r>
          </w:hyperlink>
          <w:r w:rsidR="00F12019">
            <w:fldChar w:fldCharType="end"/>
          </w:r>
        </w:p>
      </w:sdtContent>
    </w:sdt>
    <w:p w14:paraId="7FD315B7" w14:textId="2D1F2C4A" w:rsidR="009E1AB2" w:rsidRPr="005636C5" w:rsidRDefault="009E1AB2" w:rsidP="00C616D6">
      <w:pPr>
        <w:pStyle w:val="Nagwek2"/>
        <w:numPr>
          <w:ilvl w:val="0"/>
          <w:numId w:val="0"/>
        </w:numPr>
        <w:ind w:left="426" w:hanging="426"/>
      </w:pPr>
      <w:bookmarkStart w:id="2" w:name="_Toc141428614"/>
      <w:r w:rsidRPr="009E1AB2">
        <w:t>Podstawa prawna</w:t>
      </w:r>
      <w:bookmarkEnd w:id="2"/>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3" w:name="_Toc141428615"/>
      <w:r w:rsidRPr="008B7F89">
        <w:t>Wykaz skrótów</w:t>
      </w:r>
      <w:bookmarkEnd w:id="3"/>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77777777" w:rsidR="008B7F89" w:rsidRPr="008B7F89" w:rsidRDefault="008B7F89" w:rsidP="008B7F89">
      <w:pPr>
        <w:spacing w:after="0"/>
      </w:pPr>
      <w:r w:rsidRPr="008B7F89">
        <w:t>IP – Instytucja Pośrednicząca</w:t>
      </w:r>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4" w:name="_Toc413927262"/>
      <w:bookmarkStart w:id="5" w:name="_Toc413927754"/>
      <w:bookmarkStart w:id="6" w:name="_Toc413927785"/>
      <w:bookmarkStart w:id="7" w:name="_Toc413927894"/>
      <w:bookmarkStart w:id="8" w:name="_Toc413928279"/>
      <w:bookmarkStart w:id="9" w:name="_Toc413928322"/>
      <w:bookmarkStart w:id="10" w:name="_Toc413928370"/>
      <w:bookmarkStart w:id="11" w:name="_Toc413931299"/>
      <w:bookmarkStart w:id="12" w:name="_Toc413932892"/>
      <w:bookmarkStart w:id="13" w:name="_Toc413932967"/>
      <w:bookmarkStart w:id="14" w:name="_Toc413933139"/>
      <w:bookmarkStart w:id="15" w:name="_Toc422391007"/>
      <w:bookmarkStart w:id="16" w:name="_Toc53578005"/>
      <w:bookmarkStart w:id="17" w:name="_Toc141428616"/>
      <w:bookmarkEnd w:id="4"/>
      <w:bookmarkEnd w:id="5"/>
      <w:bookmarkEnd w:id="6"/>
      <w:bookmarkEnd w:id="7"/>
      <w:bookmarkEnd w:id="8"/>
      <w:bookmarkEnd w:id="9"/>
      <w:bookmarkEnd w:id="10"/>
      <w:bookmarkEnd w:id="11"/>
      <w:bookmarkEnd w:id="12"/>
      <w:bookmarkEnd w:id="13"/>
      <w:bookmarkEnd w:id="14"/>
      <w:r w:rsidRPr="00ED6037">
        <w:t>System wskaźnikó</w:t>
      </w:r>
      <w:bookmarkEnd w:id="15"/>
      <w:bookmarkEnd w:id="16"/>
      <w:r w:rsidR="00315968" w:rsidRPr="00ED6037">
        <w:t>w</w:t>
      </w:r>
      <w:bookmarkStart w:id="18" w:name="_GoBack"/>
      <w:bookmarkEnd w:id="17"/>
      <w:bookmarkEnd w:id="18"/>
    </w:p>
    <w:p w14:paraId="2FDEB943" w14:textId="139BB272" w:rsidR="00315968" w:rsidRPr="005E175A" w:rsidRDefault="00F50D7C" w:rsidP="00A175ED">
      <w:pPr>
        <w:pStyle w:val="Nagwek3"/>
      </w:pPr>
      <w:bookmarkStart w:id="19" w:name="_Toc141428617"/>
      <w:r w:rsidRPr="005E175A">
        <w:t>Struktura wskaźników</w:t>
      </w:r>
      <w:bookmarkEnd w:id="19"/>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789356A9" w14:textId="0B117C07" w:rsidR="00054476" w:rsidRDefault="00225759" w:rsidP="006F0462">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 programu, za ich ewentualne określenie, zdefiniowanie i monitorowanie odpowiada IZ.</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A175ED">
      <w:pPr>
        <w:pStyle w:val="Nagwek3"/>
      </w:pPr>
      <w:bookmarkStart w:id="20" w:name="_Toc141428618"/>
      <w:r w:rsidRPr="00EE2AAD">
        <w:t xml:space="preserve">Monitorowanie postępu </w:t>
      </w:r>
      <w:r w:rsidRPr="006C50C1">
        <w:t>rzeczowego</w:t>
      </w:r>
      <w:bookmarkEnd w:id="20"/>
    </w:p>
    <w:p w14:paraId="1216844E" w14:textId="77777777" w:rsidR="00EE2AAD" w:rsidRDefault="00EE2AAD" w:rsidP="009E064E">
      <w:pPr>
        <w:pStyle w:val="Akapitzlist"/>
        <w:numPr>
          <w:ilvl w:val="0"/>
          <w:numId w:val="3"/>
        </w:numPr>
        <w:autoSpaceDE w:val="0"/>
        <w:autoSpaceDN w:val="0"/>
        <w:adjustRightInd w:val="0"/>
        <w:spacing w:after="240"/>
        <w:ind w:left="426" w:hanging="426"/>
        <w:rPr>
          <w:rFonts w:cs="Arial"/>
        </w:rPr>
      </w:pPr>
      <w:r w:rsidRPr="00EE2AAD">
        <w:rPr>
          <w:rFonts w:cs="Arial"/>
        </w:rPr>
        <w:t>Za monitorowania postępu rzeczowego w ramach pro</w:t>
      </w:r>
      <w:r>
        <w:rPr>
          <w:rFonts w:cs="Arial"/>
        </w:rPr>
        <w:t>jektu</w:t>
      </w:r>
      <w:r w:rsidR="008B7F89">
        <w:rPr>
          <w:rFonts w:cs="Arial"/>
        </w:rPr>
        <w:t xml:space="preserve"> </w:t>
      </w:r>
      <w:r w:rsidRPr="00EE2AAD">
        <w:rPr>
          <w:rFonts w:cs="Arial"/>
        </w:rPr>
        <w:t xml:space="preserve">oraz prawidłowy przebieg procesu ich monitorowania i realizacji założonych wartości, odpowiada </w:t>
      </w:r>
      <w:r w:rsidR="008B7F89">
        <w:rPr>
          <w:rFonts w:cs="Arial"/>
        </w:rPr>
        <w:t>Beneficjent</w:t>
      </w:r>
      <w:r w:rsidRPr="00EE2AAD">
        <w:rPr>
          <w:rFonts w:cs="Arial"/>
        </w:rPr>
        <w:t>.</w:t>
      </w:r>
    </w:p>
    <w:p w14:paraId="04DE6381" w14:textId="61CDBF17" w:rsidR="00854332" w:rsidRDefault="00EE2AAD" w:rsidP="009E064E">
      <w:pPr>
        <w:pStyle w:val="Akapitzlist"/>
        <w:numPr>
          <w:ilvl w:val="0"/>
          <w:numId w:val="3"/>
        </w:numPr>
        <w:autoSpaceDE w:val="0"/>
        <w:autoSpaceDN w:val="0"/>
        <w:adjustRightInd w:val="0"/>
        <w:spacing w:after="240"/>
        <w:ind w:left="426" w:hanging="426"/>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9E064E">
      <w:pPr>
        <w:pStyle w:val="Akapitzlist"/>
        <w:numPr>
          <w:ilvl w:val="0"/>
          <w:numId w:val="3"/>
        </w:numPr>
        <w:autoSpaceDE w:val="0"/>
        <w:autoSpaceDN w:val="0"/>
        <w:adjustRightInd w:val="0"/>
        <w:spacing w:after="240"/>
        <w:ind w:left="426" w:hanging="426"/>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D934F" w:rsidR="00EE2AAD" w:rsidRPr="00A95068" w:rsidRDefault="00EE2AAD" w:rsidP="009E064E">
      <w:pPr>
        <w:pStyle w:val="Akapitzlist"/>
        <w:numPr>
          <w:ilvl w:val="0"/>
          <w:numId w:val="3"/>
        </w:numPr>
        <w:autoSpaceDE w:val="0"/>
        <w:autoSpaceDN w:val="0"/>
        <w:adjustRightInd w:val="0"/>
        <w:spacing w:after="240"/>
        <w:ind w:left="426" w:hanging="426"/>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r w:rsidR="00C34F92" w:rsidRPr="00A95068">
        <w:rPr>
          <w:rFonts w:cs="Arial"/>
        </w:rPr>
        <w:br w:type="page"/>
      </w:r>
    </w:p>
    <w:p w14:paraId="4610524B" w14:textId="529AA6D2" w:rsidR="00854332" w:rsidRPr="00083E30" w:rsidRDefault="00F50D7C" w:rsidP="00A175ED">
      <w:pPr>
        <w:pStyle w:val="Nagwek2"/>
      </w:pPr>
      <w:bookmarkStart w:id="21" w:name="_Toc141428619"/>
      <w:r w:rsidRPr="00083E30">
        <w:t>Typologia wskaźników</w:t>
      </w:r>
      <w:bookmarkEnd w:id="21"/>
    </w:p>
    <w:p w14:paraId="7B31ED12" w14:textId="77777777" w:rsidR="00854332" w:rsidRPr="00E72016"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 xml:space="preserve">się zarówno do produktów, jak i rezultatów. </w:t>
      </w:r>
      <w:r w:rsidR="00552C18">
        <w:rPr>
          <w:rFonts w:cs="Arial"/>
        </w:rPr>
        <w:br/>
      </w:r>
      <w:r w:rsidRPr="00E72016">
        <w:rPr>
          <w:rFonts w:cs="Arial"/>
        </w:rPr>
        <w:t>W 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1E4DD4BF" w:rsidR="00854332" w:rsidRPr="00E72016"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 xml:space="preserve">współfinansowanych z EFS+. </w:t>
      </w:r>
      <w:r w:rsidR="00552C18">
        <w:rPr>
          <w:rFonts w:cs="Arial"/>
        </w:rPr>
        <w:br/>
      </w:r>
      <w:r w:rsidRPr="00E72016">
        <w:rPr>
          <w:rFonts w:cs="Arial"/>
        </w:rPr>
        <w:t>W 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2" w:name="_Toc141428620"/>
      <w:r w:rsidRPr="00B062BE">
        <w:t>Szczegółowe zasady dotyczące monitorowania</w:t>
      </w:r>
      <w:r w:rsidR="00B062BE">
        <w:t xml:space="preserve"> </w:t>
      </w:r>
      <w:r w:rsidRPr="00B062BE">
        <w:t>wskaźników</w:t>
      </w:r>
      <w:bookmarkEnd w:id="22"/>
    </w:p>
    <w:p w14:paraId="651607B8" w14:textId="229EE746" w:rsidR="00B062BE" w:rsidRPr="0031286D" w:rsidRDefault="00F50D7C" w:rsidP="000B0EC7">
      <w:pPr>
        <w:pStyle w:val="Nagwek3"/>
      </w:pPr>
      <w:bookmarkStart w:id="23" w:name="_Toc141428621"/>
      <w:r w:rsidRPr="0031286D">
        <w:t>Definicja uczestnika i podmiotu objętego wsparciem</w:t>
      </w:r>
      <w:bookmarkEnd w:id="23"/>
    </w:p>
    <w:p w14:paraId="19330339" w14:textId="174F5725"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 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9E064E">
      <w:pPr>
        <w:pStyle w:val="Akapitzlist"/>
        <w:numPr>
          <w:ilvl w:val="0"/>
          <w:numId w:val="6"/>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0B0EC7">
      <w:pPr>
        <w:pStyle w:val="Nagwek3"/>
      </w:pPr>
      <w:bookmarkStart w:id="24" w:name="_Toc141428622"/>
      <w:r w:rsidRPr="00B062BE">
        <w:t>Zasady dotyczące doboru wskaźników w projekcie</w:t>
      </w:r>
      <w:bookmarkEnd w:id="24"/>
    </w:p>
    <w:p w14:paraId="7AD2093E" w14:textId="27DC0032" w:rsidR="00A65BEF"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0B0EC7">
      <w:pPr>
        <w:pStyle w:val="Nagwek3"/>
      </w:pPr>
      <w:bookmarkStart w:id="25" w:name="_Toc141428623"/>
      <w:r w:rsidRPr="0031286D">
        <w:t>Zasady dotyczące pomiaru wskaźników w projekcie</w:t>
      </w:r>
      <w:bookmarkEnd w:id="25"/>
    </w:p>
    <w:p w14:paraId="4019BE8D" w14:textId="3D557E4D" w:rsidR="00A65BEF"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Urz. UE L 119 z 04.05.2016, str. 1, z późn.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314A2426" w:rsidR="00A65BEF" w:rsidRPr="00262E9A" w:rsidRDefault="00A65BEF" w:rsidP="009E064E">
      <w:pPr>
        <w:pStyle w:val="Akapitzlist"/>
        <w:numPr>
          <w:ilvl w:val="0"/>
          <w:numId w:val="8"/>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 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799BDF09" w14:textId="7D34BD8F" w:rsidR="00A65BEF" w:rsidRPr="009D5055"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Szczegółowe zasady dotyczące sposobu definiowania i monitorowania faktu</w:t>
      </w:r>
      <w:r w:rsidR="009D5055" w:rsidRPr="009D5055">
        <w:rPr>
          <w:rFonts w:cs="Arial"/>
        </w:rPr>
        <w:t xml:space="preserve"> </w:t>
      </w:r>
      <w:r w:rsidRPr="009D5055">
        <w:rPr>
          <w:rFonts w:cs="Arial"/>
        </w:rPr>
        <w:t xml:space="preserve">uzyskiwania kwalifikacji w projektach EFS+ </w:t>
      </w:r>
      <w:r w:rsidRPr="004C1C84">
        <w:rPr>
          <w:rFonts w:cs="Arial"/>
        </w:rPr>
        <w:t xml:space="preserve">określono w załączniku </w:t>
      </w:r>
      <w:r w:rsidR="00026062" w:rsidRPr="004C1C84">
        <w:rPr>
          <w:rFonts w:cs="Arial"/>
        </w:rPr>
        <w:t xml:space="preserve">nr </w:t>
      </w:r>
      <w:r w:rsidR="00094A27" w:rsidRPr="004C1C84">
        <w:rPr>
          <w:rFonts w:cs="Arial"/>
        </w:rPr>
        <w:t xml:space="preserve">3 </w:t>
      </w:r>
      <w:r w:rsidRPr="004C1C84">
        <w:rPr>
          <w:rFonts w:cs="Arial"/>
        </w:rPr>
        <w:t>do</w:t>
      </w:r>
      <w:r w:rsidR="009D5055" w:rsidRPr="004C1C84">
        <w:rPr>
          <w:rFonts w:cs="Arial"/>
        </w:rPr>
        <w:t xml:space="preserve"> </w:t>
      </w:r>
      <w:r w:rsidRPr="004C1C84">
        <w:rPr>
          <w:rFonts w:cs="Arial"/>
        </w:rPr>
        <w:t xml:space="preserve">niniejszych </w:t>
      </w:r>
      <w:r w:rsidR="009D5055" w:rsidRPr="004C1C84">
        <w:rPr>
          <w:rFonts w:cs="Arial"/>
        </w:rPr>
        <w:t>zasad.</w:t>
      </w:r>
    </w:p>
    <w:p w14:paraId="6BC858A6"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(tj. przerwanie udziału w projekcie przed 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pomniejszenia wartości wskaźników, chyba że powodem niekwalifikowalności</w:t>
      </w:r>
      <w:r w:rsidR="003D3D58" w:rsidRPr="003D3D58">
        <w:rPr>
          <w:rFonts w:cs="Arial"/>
        </w:rPr>
        <w:t xml:space="preserve"> </w:t>
      </w:r>
      <w:r w:rsidRPr="003D3D58">
        <w:rPr>
          <w:rFonts w:cs="Arial"/>
        </w:rPr>
        <w:t xml:space="preserve">była </w:t>
      </w:r>
      <w:proofErr w:type="spellStart"/>
      <w:r w:rsidRPr="003D3D58">
        <w:rPr>
          <w:rFonts w:cs="Arial"/>
        </w:rPr>
        <w:t>niekwalifikowalność</w:t>
      </w:r>
      <w:proofErr w:type="spellEnd"/>
      <w:r w:rsidRPr="003D3D58">
        <w:rPr>
          <w:rFonts w:cs="Arial"/>
        </w:rPr>
        <w:t xml:space="preserve">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9E064E">
      <w:pPr>
        <w:pStyle w:val="Akapitzlist"/>
        <w:numPr>
          <w:ilvl w:val="0"/>
          <w:numId w:val="8"/>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0B0EC7">
      <w:pPr>
        <w:pStyle w:val="Nagwek3"/>
      </w:pPr>
      <w:bookmarkStart w:id="26" w:name="_Toc141428624"/>
      <w:r w:rsidRPr="00367E8D">
        <w:t>Moment pomiaru wskaźników</w:t>
      </w:r>
      <w:bookmarkEnd w:id="26"/>
    </w:p>
    <w:p w14:paraId="6963A9C8" w14:textId="0F31BD45" w:rsidR="00367E8D" w:rsidRDefault="00367E8D" w:rsidP="009E064E">
      <w:pPr>
        <w:pStyle w:val="Akapitzlist"/>
        <w:numPr>
          <w:ilvl w:val="0"/>
          <w:numId w:val="9"/>
        </w:numPr>
        <w:autoSpaceDE w:val="0"/>
        <w:autoSpaceDN w:val="0"/>
        <w:adjustRightInd w:val="0"/>
        <w:spacing w:after="240"/>
        <w:ind w:left="426" w:hanging="426"/>
        <w:rPr>
          <w:rFonts w:cs="Arial"/>
        </w:rPr>
      </w:pPr>
      <w:r w:rsidRPr="00D970EB">
        <w:rPr>
          <w:rFonts w:cs="Arial"/>
        </w:rPr>
        <w:t>Wskaźniki produktu monitorowane są w momencie rozpoczęcia udziału w projekcie. Odstępstwo od</w:t>
      </w:r>
      <w:r w:rsidR="009C1E9E">
        <w:rPr>
          <w:rFonts w:cs="Arial"/>
        </w:rPr>
        <w:t> </w:t>
      </w:r>
      <w:r w:rsidRPr="00D970EB">
        <w:rPr>
          <w:rFonts w:cs="Arial"/>
        </w:rPr>
        <w:t xml:space="preserve">tej zasady możliwe jest w szczególnych przypadkach, co zostało wskazane w definicji i sposobie pomiaru danego </w:t>
      </w:r>
      <w:r w:rsidRPr="004C1C84">
        <w:rPr>
          <w:rFonts w:cs="Arial"/>
        </w:rPr>
        <w:t>wskaźnika</w:t>
      </w:r>
      <w:r w:rsidR="00DE024B" w:rsidRPr="004C1C84">
        <w:rPr>
          <w:rFonts w:cs="Arial"/>
        </w:rPr>
        <w:t xml:space="preserve"> w załączniku </w:t>
      </w:r>
      <w:r w:rsidR="00026062" w:rsidRPr="004C1C84">
        <w:rPr>
          <w:rFonts w:cs="Arial"/>
        </w:rPr>
        <w:t xml:space="preserve">nr </w:t>
      </w:r>
      <w:r w:rsidR="00DE024B" w:rsidRPr="004C1C84">
        <w:rPr>
          <w:rFonts w:cs="Arial"/>
        </w:rPr>
        <w:t xml:space="preserve">1 do niniejszych zasad. </w:t>
      </w:r>
      <w:r w:rsidRPr="004C1C84">
        <w:rPr>
          <w:rFonts w:cs="Arial"/>
        </w:rPr>
        <w:t>Danych</w:t>
      </w:r>
      <w:r w:rsidRPr="00D970EB">
        <w:rPr>
          <w:rFonts w:cs="Arial"/>
        </w:rPr>
        <w:t xml:space="preserve"> wykazanych we wskaźnikach produktu nie należy aktualizować w przypadku powrotu uczestnika lub podmiotu obejmowanego wsparciem do projektu. W przypadku wskaźników produktu dotyczących form</w:t>
      </w:r>
      <w:r w:rsidR="00D970EB" w:rsidRPr="00D970EB">
        <w:rPr>
          <w:rFonts w:cs="Arial"/>
        </w:rPr>
        <w:t xml:space="preserve"> </w:t>
      </w:r>
      <w:r w:rsidRPr="00D970EB">
        <w:rPr>
          <w:rFonts w:cs="Arial"/>
        </w:rPr>
        <w:t>wsparcia udzielanych w projektach, są one mierzone w momencie przystąpienia</w:t>
      </w:r>
      <w:r w:rsidR="00D970EB">
        <w:rPr>
          <w:rFonts w:cs="Arial"/>
        </w:rPr>
        <w:t xml:space="preserve"> </w:t>
      </w:r>
      <w:r w:rsidRPr="00D970EB">
        <w:rPr>
          <w:rFonts w:cs="Arial"/>
        </w:rPr>
        <w:t>do określonej formy wsparcia.</w:t>
      </w:r>
    </w:p>
    <w:p w14:paraId="2F7554DE" w14:textId="0792AD2C" w:rsidR="00367E8D" w:rsidRPr="00984136" w:rsidRDefault="00367E8D" w:rsidP="009E064E">
      <w:pPr>
        <w:pStyle w:val="Akapitzlist"/>
        <w:numPr>
          <w:ilvl w:val="0"/>
          <w:numId w:val="9"/>
        </w:numPr>
        <w:autoSpaceDE w:val="0"/>
        <w:autoSpaceDN w:val="0"/>
        <w:adjustRightInd w:val="0"/>
        <w:spacing w:after="240"/>
        <w:ind w:left="426" w:hanging="426"/>
        <w:rPr>
          <w:rFonts w:cs="Arial"/>
        </w:rPr>
      </w:pPr>
      <w:r w:rsidRPr="00984136">
        <w:rPr>
          <w:rFonts w:cs="Arial"/>
        </w:rPr>
        <w:t>Wskaźniki rezultatu bezpośredniego odnotowują efekt wsparcia bezpośrednio p</w:t>
      </w:r>
      <w:r w:rsidR="00D970EB" w:rsidRPr="00984136">
        <w:rPr>
          <w:rFonts w:cs="Arial"/>
        </w:rPr>
        <w:t xml:space="preserve">o </w:t>
      </w:r>
      <w:r w:rsidRPr="00984136">
        <w:rPr>
          <w:rFonts w:cs="Arial"/>
        </w:rPr>
        <w:t>zakończeniu udziału w projekcie i mierzone są co do zasady do 4 tygodni od</w:t>
      </w:r>
      <w:r w:rsidR="00D970EB" w:rsidRPr="00984136">
        <w:rPr>
          <w:rFonts w:cs="Arial"/>
        </w:rPr>
        <w:t xml:space="preserve"> </w:t>
      </w:r>
      <w:r w:rsidRPr="00984136">
        <w:rPr>
          <w:rFonts w:cs="Arial"/>
        </w:rPr>
        <w:t xml:space="preserve">zakończenia udziału przez </w:t>
      </w:r>
      <w:r w:rsidR="00D970EB" w:rsidRPr="00984136">
        <w:rPr>
          <w:rFonts w:cs="Arial"/>
        </w:rPr>
        <w:t>u</w:t>
      </w:r>
      <w:r w:rsidRPr="00984136">
        <w:rPr>
          <w:rFonts w:cs="Arial"/>
        </w:rPr>
        <w:t>czestnika lub podmiot obejmowany wsparciem</w:t>
      </w:r>
      <w:r w:rsidR="00D970EB" w:rsidRPr="00984136">
        <w:rPr>
          <w:rFonts w:cs="Arial"/>
        </w:rPr>
        <w:t xml:space="preserve"> </w:t>
      </w:r>
      <w:r w:rsidRPr="00984136">
        <w:rPr>
          <w:rFonts w:cs="Arial"/>
        </w:rPr>
        <w:t>w projekcie. Dane dotyczące sytuacji uczestnika lub podmiotu po upływie</w:t>
      </w:r>
      <w:r w:rsidR="00AB0AA6" w:rsidRPr="00984136">
        <w:rPr>
          <w:rFonts w:cs="Arial"/>
        </w:rPr>
        <w:t xml:space="preserve"> </w:t>
      </w:r>
      <w:r w:rsidRPr="00984136">
        <w:rPr>
          <w:rFonts w:cs="Arial"/>
        </w:rPr>
        <w:t xml:space="preserve">4 tygodni od zakończenia udziału w projekcie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załączniku nr 4 do niniejszych zasad.</w:t>
      </w:r>
      <w:r w:rsidR="00984136">
        <w:rPr>
          <w:rFonts w:cs="Arial"/>
        </w:rPr>
        <w:t xml:space="preserve"> </w:t>
      </w:r>
      <w:r w:rsidR="00984136">
        <w:rPr>
          <w:rFonts w:cs="Arial"/>
        </w:rPr>
        <w:br/>
      </w:r>
      <w:r w:rsidRPr="00984136">
        <w:rPr>
          <w:rFonts w:cs="Arial"/>
        </w:rPr>
        <w:t>W 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r w:rsidR="00EC616B">
        <w:rPr>
          <w:rStyle w:val="Odwoanieprzypisudolnego"/>
          <w:rFonts w:cs="Arial"/>
        </w:rPr>
        <w:footnoteReference w:id="2"/>
      </w:r>
      <w:r w:rsidRPr="00984136">
        <w:rPr>
          <w:rFonts w:cs="Arial"/>
        </w:rPr>
        <w:t>.</w:t>
      </w:r>
    </w:p>
    <w:p w14:paraId="4345A21D" w14:textId="1D146C50" w:rsidR="00367E8D" w:rsidRDefault="00367E8D" w:rsidP="009E064E">
      <w:pPr>
        <w:pStyle w:val="Akapitzlist"/>
        <w:numPr>
          <w:ilvl w:val="0"/>
          <w:numId w:val="9"/>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3"/>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9E064E">
      <w:pPr>
        <w:pStyle w:val="Akapitzlist"/>
        <w:numPr>
          <w:ilvl w:val="0"/>
          <w:numId w:val="9"/>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9E064E">
      <w:pPr>
        <w:pStyle w:val="Akapitzlist"/>
        <w:numPr>
          <w:ilvl w:val="0"/>
          <w:numId w:val="9"/>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7" w:name="_Toc141428625"/>
      <w:r w:rsidRPr="005B71BA">
        <w:t>Dane uczestników i podmiotów biorących udział w</w:t>
      </w:r>
      <w:r w:rsidR="005B71BA">
        <w:t xml:space="preserve"> </w:t>
      </w:r>
      <w:r w:rsidRPr="005B71BA">
        <w:t>projektach</w:t>
      </w:r>
      <w:bookmarkEnd w:id="27"/>
    </w:p>
    <w:p w14:paraId="358A0CE8" w14:textId="52FC63E9" w:rsidR="005B71BA" w:rsidRPr="005E175A" w:rsidRDefault="00F50D7C" w:rsidP="000B0EC7">
      <w:pPr>
        <w:pStyle w:val="Nagwek3"/>
      </w:pPr>
      <w:bookmarkStart w:id="28" w:name="_Toc141428626"/>
      <w:r w:rsidRPr="005E175A">
        <w:t>Jakość danych</w:t>
      </w:r>
      <w:bookmarkEnd w:id="28"/>
    </w:p>
    <w:p w14:paraId="0C1DE033" w14:textId="77777777"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9E064E">
      <w:pPr>
        <w:pStyle w:val="Akapitzlist"/>
        <w:numPr>
          <w:ilvl w:val="0"/>
          <w:numId w:val="10"/>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9E064E">
      <w:pPr>
        <w:pStyle w:val="Akapitzlist"/>
        <w:numPr>
          <w:ilvl w:val="1"/>
          <w:numId w:val="38"/>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9E064E">
      <w:pPr>
        <w:pStyle w:val="Akapitzlist"/>
        <w:numPr>
          <w:ilvl w:val="1"/>
          <w:numId w:val="38"/>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9E064E">
      <w:pPr>
        <w:pStyle w:val="Akapitzlist"/>
        <w:numPr>
          <w:ilvl w:val="1"/>
          <w:numId w:val="38"/>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9E064E">
      <w:pPr>
        <w:pStyle w:val="Akapitzlist"/>
        <w:numPr>
          <w:ilvl w:val="1"/>
          <w:numId w:val="38"/>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0B0EC7">
      <w:pPr>
        <w:pStyle w:val="Nagwek3"/>
      </w:pPr>
      <w:bookmarkStart w:id="29" w:name="_Toc141428627"/>
      <w:r w:rsidRPr="005B71BA">
        <w:t>Przetwarzanie i agregowanie danych w</w:t>
      </w:r>
      <w:r w:rsidR="005B71BA" w:rsidRPr="005B71BA">
        <w:t xml:space="preserve"> CST2021</w:t>
      </w:r>
      <w:bookmarkEnd w:id="29"/>
    </w:p>
    <w:p w14:paraId="231CA223" w14:textId="64F243BA"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3F908992" w14:textId="220415F6" w:rsidR="00C34F92" w:rsidRPr="006A78FF"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76754310" w14:textId="37FD0D30" w:rsidR="00047AA4" w:rsidRPr="006A78FF" w:rsidRDefault="00D5585E" w:rsidP="009E064E">
      <w:pPr>
        <w:pStyle w:val="Akapitzlist"/>
        <w:numPr>
          <w:ilvl w:val="0"/>
          <w:numId w:val="11"/>
        </w:numPr>
        <w:autoSpaceDE w:val="0"/>
        <w:autoSpaceDN w:val="0"/>
        <w:adjustRightInd w:val="0"/>
        <w:spacing w:after="240"/>
        <w:ind w:left="426" w:hanging="426"/>
        <w:rPr>
          <w:rFonts w:cs="Arial"/>
        </w:rPr>
      </w:pPr>
      <w:r w:rsidRPr="006A78FF">
        <w:rPr>
          <w:rFonts w:cs="Arial"/>
        </w:rPr>
        <w:t>Informacje dotyczące wskaźników w postaci listy mierzalnych wskaźników projektu uzupełniane są w</w:t>
      </w:r>
      <w:r w:rsidR="00A2545A" w:rsidRPr="006A78FF">
        <w:rPr>
          <w:rFonts w:cs="Arial"/>
        </w:rPr>
        <w:t> </w:t>
      </w:r>
      <w:r w:rsidRPr="006A78FF">
        <w:rPr>
          <w:rFonts w:cs="Arial"/>
        </w:rPr>
        <w:t>CST2021 poprzez przekazanie danych z SOWA EFS/LSI</w:t>
      </w:r>
      <w:r w:rsidR="0003668A" w:rsidRPr="006A78FF">
        <w:rPr>
          <w:rFonts w:cs="Arial"/>
        </w:rPr>
        <w:t xml:space="preserve"> </w:t>
      </w:r>
      <w:r w:rsidRPr="006A78FF">
        <w:rPr>
          <w:rFonts w:cs="Arial"/>
        </w:rPr>
        <w:t>na etapie uzupełniania rozszerzonego zakresu danych dla projektu przez Użytkownika I</w:t>
      </w:r>
      <w:r w:rsidRPr="006A78FF">
        <w:rPr>
          <w:rStyle w:val="Odwoanieprzypisudolnego"/>
          <w:rFonts w:cs="Arial"/>
        </w:rPr>
        <w:footnoteReference w:id="4"/>
      </w:r>
      <w:r w:rsidRPr="006A78FF">
        <w:rPr>
          <w:rFonts w:cs="Arial"/>
        </w:rPr>
        <w:t>, na podstawie listy wskaźników określonych przez beneficjenta we wniosku o dofinansowanie projektu. Podczas rejestracji projektu przypisuje się do</w:t>
      </w:r>
      <w:r w:rsidR="00A2545A" w:rsidRPr="006A78FF">
        <w:rPr>
          <w:rFonts w:cs="Arial"/>
        </w:rPr>
        <w:t> </w:t>
      </w:r>
      <w:r w:rsidRPr="006A78FF">
        <w:rPr>
          <w:rFonts w:cs="Arial"/>
        </w:rPr>
        <w:t>projektu wskaźniki produktu i rezultatu w postaci zestawów wskaźników: obowiązkowych (wskaźniki kluczowe)</w:t>
      </w:r>
      <w:r w:rsidR="001E4CA5" w:rsidRPr="006A78FF">
        <w:rPr>
          <w:rFonts w:cs="Arial"/>
        </w:rPr>
        <w:t xml:space="preserve"> i</w:t>
      </w:r>
      <w:r w:rsidRPr="006A78FF">
        <w:rPr>
          <w:rFonts w:cs="Arial"/>
        </w:rPr>
        <w:t xml:space="preserve"> dodatkowych (wskaźniki specyficzne dla programu)</w:t>
      </w:r>
      <w:r w:rsidR="001E4CA5" w:rsidRPr="006A78FF">
        <w:rPr>
          <w:rFonts w:cs="Arial"/>
        </w:rPr>
        <w:t>.</w:t>
      </w:r>
      <w:r w:rsidRPr="006A78FF">
        <w:rPr>
          <w:rFonts w:cs="Arial"/>
        </w:rPr>
        <w:t xml:space="preserve"> </w:t>
      </w:r>
    </w:p>
    <w:p w14:paraId="0B9AAABC" w14:textId="6223798E" w:rsidR="005B71BA" w:rsidRDefault="005B71BA" w:rsidP="009E064E">
      <w:pPr>
        <w:pStyle w:val="Akapitzlist"/>
        <w:numPr>
          <w:ilvl w:val="0"/>
          <w:numId w:val="11"/>
        </w:numPr>
        <w:autoSpaceDE w:val="0"/>
        <w:autoSpaceDN w:val="0"/>
        <w:adjustRightInd w:val="0"/>
        <w:spacing w:after="240"/>
        <w:ind w:left="426" w:hanging="426"/>
        <w:rPr>
          <w:rFonts w:cs="Arial"/>
        </w:rPr>
      </w:pPr>
      <w:r w:rsidRPr="006A78FF">
        <w:rPr>
          <w:rFonts w:cs="Arial"/>
        </w:rPr>
        <w:t>Postęp w realizacji wskaźników monitorowany jest w CST2021 podczas weryfikacji i zatwierdzania wniosku o płatność w systemie.</w:t>
      </w:r>
      <w:r w:rsidR="00C278D8" w:rsidRPr="006A78FF">
        <w:rPr>
          <w:rFonts w:cs="Arial"/>
        </w:rPr>
        <w:t xml:space="preserve"> </w:t>
      </w:r>
      <w:r w:rsidRPr="006A78FF">
        <w:rPr>
          <w:rFonts w:cs="Arial"/>
        </w:rPr>
        <w:t>Postęp rzeczowy obejmuje wybrane w karcie projektu wskaźniki</w:t>
      </w:r>
      <w:r w:rsidR="00C278D8" w:rsidRPr="006A78FF">
        <w:rPr>
          <w:rFonts w:cs="Arial"/>
        </w:rPr>
        <w:t>.</w:t>
      </w:r>
      <w:r w:rsidRPr="006A78FF">
        <w:rPr>
          <w:rFonts w:cs="Arial"/>
        </w:rPr>
        <w:t xml:space="preserve"> Obejmuje on również</w:t>
      </w:r>
      <w:r w:rsidR="00C278D8" w:rsidRPr="006A78FF">
        <w:rPr>
          <w:rFonts w:cs="Arial"/>
        </w:rPr>
        <w:t xml:space="preserve"> </w:t>
      </w:r>
      <w:r w:rsidRPr="006A78FF">
        <w:rPr>
          <w:rFonts w:cs="Arial"/>
        </w:rPr>
        <w:t>dane uczestników projektu lub podmiotów obejmowanych wsparciem. Wskaźniki produktu, które mogą zostać obliczone na</w:t>
      </w:r>
      <w:r w:rsidR="00C278D8" w:rsidRPr="006A78FF">
        <w:rPr>
          <w:rFonts w:cs="Arial"/>
        </w:rPr>
        <w:t xml:space="preserve"> </w:t>
      </w:r>
      <w:r w:rsidRPr="006A78FF">
        <w:rPr>
          <w:rFonts w:cs="Arial"/>
        </w:rPr>
        <w:t>podstawie danych uczestników/podmiotów, wyliczane są na poziomie projektu</w:t>
      </w:r>
      <w:r w:rsidR="00C278D8" w:rsidRPr="006A78FF">
        <w:rPr>
          <w:rFonts w:cs="Arial"/>
        </w:rPr>
        <w:t xml:space="preserve"> </w:t>
      </w:r>
      <w:r w:rsidRPr="006A78FF">
        <w:rPr>
          <w:rFonts w:cs="Arial"/>
        </w:rPr>
        <w:t>w SM EFS i na poziomie zagregowanym w SR2021, biorąc pod</w:t>
      </w:r>
      <w:r w:rsidR="00A2545A" w:rsidRPr="006A78FF">
        <w:rPr>
          <w:rFonts w:cs="Arial"/>
        </w:rPr>
        <w:t> </w:t>
      </w:r>
      <w:r w:rsidRPr="006A78FF">
        <w:rPr>
          <w:rFonts w:cs="Arial"/>
        </w:rPr>
        <w:t>uwagę datę</w:t>
      </w:r>
      <w:r w:rsidR="00C278D8" w:rsidRPr="006A78FF">
        <w:rPr>
          <w:rFonts w:cs="Arial"/>
        </w:rPr>
        <w:t xml:space="preserve"> </w:t>
      </w:r>
      <w:r w:rsidRPr="006A78FF">
        <w:rPr>
          <w:rFonts w:cs="Arial"/>
        </w:rPr>
        <w:t>rozpoczęcia udziału w projekcie. Wskaźniki rezultatu wypełniane są co do zasady</w:t>
      </w:r>
      <w:r w:rsidR="00C278D8" w:rsidRPr="006A78FF">
        <w:rPr>
          <w:rFonts w:cs="Arial"/>
        </w:rPr>
        <w:t xml:space="preserve"> </w:t>
      </w:r>
      <w:r w:rsidRPr="006A78FF">
        <w:rPr>
          <w:rFonts w:cs="Arial"/>
        </w:rPr>
        <w:t>po</w:t>
      </w:r>
      <w:r w:rsidR="00A2545A" w:rsidRPr="006A78FF">
        <w:rPr>
          <w:rFonts w:cs="Arial"/>
        </w:rPr>
        <w:t> </w:t>
      </w:r>
      <w:r w:rsidRPr="006A78FF">
        <w:rPr>
          <w:rFonts w:cs="Arial"/>
        </w:rPr>
        <w:t>zakończeniu udziału uczestnika/podmiotu w projekcie. Dane do wskaźników</w:t>
      </w:r>
      <w:r w:rsidR="00C278D8" w:rsidRPr="006A78FF">
        <w:rPr>
          <w:rFonts w:cs="Arial"/>
        </w:rPr>
        <w:t xml:space="preserve"> </w:t>
      </w:r>
      <w:r w:rsidRPr="006A78FF">
        <w:rPr>
          <w:rFonts w:cs="Arial"/>
        </w:rPr>
        <w:t>wspólnych oraz wybranych wskaźników kluczowych agregowane są na podstawie</w:t>
      </w:r>
      <w:r w:rsidR="00C278D8" w:rsidRPr="006A78FF">
        <w:rPr>
          <w:rFonts w:cs="Arial"/>
        </w:rPr>
        <w:t xml:space="preserve"> </w:t>
      </w:r>
      <w:r w:rsidRPr="006A78FF">
        <w:rPr>
          <w:rFonts w:cs="Arial"/>
        </w:rPr>
        <w:t xml:space="preserve">danych </w:t>
      </w:r>
      <w:r w:rsidR="00C278D8" w:rsidRPr="006A78FF">
        <w:rPr>
          <w:rFonts w:cs="Arial"/>
        </w:rPr>
        <w:t xml:space="preserve"> </w:t>
      </w:r>
      <w:r w:rsidR="00552C18" w:rsidRPr="006A78FF">
        <w:rPr>
          <w:rFonts w:cs="Arial"/>
        </w:rPr>
        <w:t>u</w:t>
      </w:r>
      <w:r w:rsidRPr="006A78FF">
        <w:rPr>
          <w:rFonts w:cs="Arial"/>
        </w:rPr>
        <w:t>czestników/</w:t>
      </w:r>
      <w:r w:rsidR="00552C18" w:rsidRPr="006A78FF">
        <w:rPr>
          <w:rFonts w:cs="Arial"/>
        </w:rPr>
        <w:t xml:space="preserve"> </w:t>
      </w:r>
      <w:r w:rsidRPr="006A78FF">
        <w:rPr>
          <w:rFonts w:cs="Arial"/>
        </w:rPr>
        <w:t>podmiotów, biorąc pod uwagę datę rozpoczęcia oraz</w:t>
      </w:r>
      <w:r w:rsidR="00C278D8" w:rsidRPr="006A78FF">
        <w:rPr>
          <w:rFonts w:cs="Arial"/>
        </w:rPr>
        <w:t xml:space="preserve"> </w:t>
      </w:r>
      <w:r w:rsidRPr="006A78FF">
        <w:rPr>
          <w:rFonts w:cs="Arial"/>
        </w:rPr>
        <w:t>zakończenia udziału w projekcie. Wskaźniki specyficzne dla</w:t>
      </w:r>
      <w:r w:rsidR="00A2545A" w:rsidRPr="006A78FF">
        <w:rPr>
          <w:rFonts w:cs="Arial"/>
        </w:rPr>
        <w:t> </w:t>
      </w:r>
      <w:r w:rsidRPr="006A78FF">
        <w:rPr>
          <w:rFonts w:cs="Arial"/>
        </w:rPr>
        <w:t>programu</w:t>
      </w:r>
      <w:r w:rsidR="00C278D8" w:rsidRPr="006A78FF">
        <w:rPr>
          <w:rFonts w:cs="Arial"/>
        </w:rPr>
        <w:t xml:space="preserve"> </w:t>
      </w:r>
      <w:r w:rsidRPr="006A78FF">
        <w:rPr>
          <w:rFonts w:cs="Arial"/>
        </w:rPr>
        <w:t>nie są</w:t>
      </w:r>
      <w:r w:rsidRPr="001B13B2">
        <w:rPr>
          <w:rFonts w:cs="Arial"/>
        </w:rPr>
        <w:t xml:space="preserve"> generowane na podstawie danych uczestników/podmiotów</w:t>
      </w:r>
      <w:r w:rsidR="00FA00E1" w:rsidRPr="001B13B2">
        <w:rPr>
          <w:rFonts w:cs="Arial"/>
        </w:rPr>
        <w:t xml:space="preserve"> </w:t>
      </w:r>
      <w:r w:rsidRPr="001B13B2">
        <w:rPr>
          <w:rFonts w:cs="Arial"/>
        </w:rPr>
        <w:t>zawartych CST2021, ale dane uczestników/</w:t>
      </w:r>
      <w:r w:rsidR="00552C18">
        <w:rPr>
          <w:rFonts w:cs="Arial"/>
        </w:rPr>
        <w:t xml:space="preserve"> </w:t>
      </w:r>
      <w:r w:rsidRPr="001B13B2">
        <w:rPr>
          <w:rFonts w:cs="Arial"/>
        </w:rPr>
        <w:t>podmiotów powinny być podstawą do</w:t>
      </w:r>
      <w:r w:rsidR="00FA00E1" w:rsidRPr="001B13B2">
        <w:rPr>
          <w:rFonts w:cs="Arial"/>
        </w:rPr>
        <w:t xml:space="preserve"> </w:t>
      </w:r>
      <w:r w:rsidRPr="001B13B2">
        <w:rPr>
          <w:rFonts w:cs="Arial"/>
        </w:rPr>
        <w:t>ich weryfikacji w zależności od zakresu informacji, których dotyczy wskaźnik (np.</w:t>
      </w:r>
      <w:r w:rsidR="001B13B2" w:rsidRPr="001B13B2">
        <w:rPr>
          <w:rFonts w:cs="Arial"/>
        </w:rPr>
        <w:t xml:space="preserve"> </w:t>
      </w:r>
      <w:r w:rsidRPr="001B13B2">
        <w:rPr>
          <w:rFonts w:cs="Arial"/>
        </w:rPr>
        <w:t>w przypadku specyficznych grup wieku, wykształcenia, łączenia kategorii danych</w:t>
      </w:r>
      <w:r w:rsidR="001B13B2" w:rsidRPr="001B13B2">
        <w:rPr>
          <w:rFonts w:cs="Arial"/>
        </w:rPr>
        <w:t xml:space="preserve"> </w:t>
      </w:r>
      <w:r w:rsidRPr="001B13B2">
        <w:rPr>
          <w:rFonts w:cs="Arial"/>
        </w:rPr>
        <w:t>z różnych wskaźników wspólnych).</w:t>
      </w:r>
    </w:p>
    <w:p w14:paraId="4794B3C1" w14:textId="716EAF49" w:rsidR="005B71BA" w:rsidRDefault="005B71BA" w:rsidP="009E064E">
      <w:pPr>
        <w:pStyle w:val="Akapitzlist"/>
        <w:numPr>
          <w:ilvl w:val="0"/>
          <w:numId w:val="11"/>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przekazywane łącznie 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jednym z warunków zatwierdzenia wniosku beneficjenta o płatność.</w:t>
      </w:r>
    </w:p>
    <w:p w14:paraId="2EC0DB91" w14:textId="33A81C84" w:rsidR="005B71BA" w:rsidRPr="005B71BA" w:rsidRDefault="00F50D7C" w:rsidP="000B0EC7">
      <w:pPr>
        <w:pStyle w:val="Nagwek3"/>
      </w:pPr>
      <w:bookmarkStart w:id="30" w:name="_Toc141428628"/>
      <w:r w:rsidRPr="005B71BA">
        <w:t>Zakres danych dotyczących uczestników projektów</w:t>
      </w:r>
      <w:bookmarkEnd w:id="30"/>
    </w:p>
    <w:p w14:paraId="37B40518" w14:textId="28A7DC3A"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5"/>
      </w:r>
      <w:r w:rsidRPr="004A2CBC">
        <w:rPr>
          <w:rFonts w:cs="Arial"/>
        </w:rPr>
        <w:t>.</w:t>
      </w:r>
    </w:p>
    <w:p w14:paraId="404CF3E8" w14:textId="34495679"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70246649" w14:textId="4174E576" w:rsidR="00A72F6E" w:rsidRDefault="005B71BA" w:rsidP="007E7F0D">
      <w:pPr>
        <w:pStyle w:val="Akapitzlist"/>
        <w:numPr>
          <w:ilvl w:val="0"/>
          <w:numId w:val="12"/>
        </w:numPr>
        <w:autoSpaceDE w:val="0"/>
        <w:autoSpaceDN w:val="0"/>
        <w:adjustRightInd w:val="0"/>
        <w:spacing w:after="240"/>
        <w:ind w:left="426" w:hanging="426"/>
        <w:rPr>
          <w:rFonts w:cs="Arial"/>
        </w:rPr>
        <w:sectPr w:rsidR="00A72F6E" w:rsidSect="004503FF">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4A2CBC">
        <w:rPr>
          <w:rFonts w:cs="Arial"/>
        </w:rPr>
        <w:t xml:space="preserve">Szczegółowy zakres danych </w:t>
      </w:r>
      <w:r w:rsidR="0003668A">
        <w:rPr>
          <w:rFonts w:cs="Arial"/>
        </w:rPr>
        <w:t xml:space="preserve">nt. </w:t>
      </w:r>
      <w:r w:rsidRPr="004A2CBC">
        <w:rPr>
          <w:rFonts w:cs="Arial"/>
        </w:rPr>
        <w:t xml:space="preserve">uczestników projektów </w:t>
      </w:r>
      <w:r w:rsidRPr="004C1C84">
        <w:rPr>
          <w:rFonts w:cs="Arial"/>
        </w:rPr>
        <w:t>zawiera</w:t>
      </w:r>
      <w:r w:rsidR="004A2CBC" w:rsidRPr="004C1C84">
        <w:rPr>
          <w:rFonts w:cs="Arial"/>
        </w:rPr>
        <w:t xml:space="preserve"> </w:t>
      </w:r>
      <w:r w:rsidR="0003668A">
        <w:rPr>
          <w:rFonts w:cs="Arial"/>
        </w:rPr>
        <w:t>Z</w:t>
      </w:r>
      <w:r w:rsidRPr="004C1C84">
        <w:rPr>
          <w:rFonts w:cs="Arial"/>
        </w:rPr>
        <w:t xml:space="preserve">ałącznik </w:t>
      </w:r>
      <w:r w:rsidR="00966B24" w:rsidRPr="004C1C84">
        <w:rPr>
          <w:rFonts w:cs="Arial"/>
        </w:rPr>
        <w:t xml:space="preserve">nr </w:t>
      </w:r>
      <w:r w:rsidR="00DE024B" w:rsidRPr="004C1C84">
        <w:rPr>
          <w:rFonts w:cs="Arial"/>
        </w:rPr>
        <w:t xml:space="preserve">2 </w:t>
      </w:r>
      <w:r w:rsidRPr="004C1C84">
        <w:rPr>
          <w:rFonts w:cs="Arial"/>
        </w:rPr>
        <w:t xml:space="preserve">do niniejszych </w:t>
      </w:r>
      <w:r w:rsidR="004A2CBC" w:rsidRPr="004C1C84">
        <w:rPr>
          <w:rFonts w:cs="Arial"/>
        </w:rPr>
        <w:t>zasad</w:t>
      </w:r>
    </w:p>
    <w:p w14:paraId="2A2C9015" w14:textId="39403B01" w:rsidR="00E72016" w:rsidRPr="00A72F6E" w:rsidRDefault="00E72016" w:rsidP="00A72F6E">
      <w:pPr>
        <w:autoSpaceDE w:val="0"/>
        <w:autoSpaceDN w:val="0"/>
        <w:adjustRightInd w:val="0"/>
        <w:spacing w:after="240"/>
        <w:rPr>
          <w:rFonts w:cs="Arial"/>
        </w:rPr>
      </w:pPr>
    </w:p>
    <w:p w14:paraId="0EBFAA32" w14:textId="678516CE" w:rsidR="0036409A" w:rsidRPr="000B0EC7" w:rsidRDefault="005816F0" w:rsidP="000B0EC7">
      <w:pPr>
        <w:pStyle w:val="Nagwek2"/>
      </w:pPr>
      <w:bookmarkStart w:id="31" w:name="_Toc141428629"/>
      <w:bookmarkStart w:id="32" w:name="_Toc53578011"/>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1"/>
    </w:p>
    <w:p w14:paraId="507ED284" w14:textId="5D18874D" w:rsidR="00E122C6" w:rsidRPr="000B0EC7" w:rsidRDefault="00E122C6" w:rsidP="000B0EC7">
      <w:pPr>
        <w:pStyle w:val="Nagwek3"/>
      </w:pPr>
      <w:bookmarkStart w:id="33" w:name="_Toc141428630"/>
      <w:r w:rsidRPr="000B0EC7">
        <w:t>Z</w:t>
      </w:r>
      <w:r w:rsidR="0068539B" w:rsidRPr="000B0EC7">
        <w:t xml:space="preserve">ałącznik nr </w:t>
      </w:r>
      <w:r w:rsidRPr="000B0EC7">
        <w:t xml:space="preserve">1 </w:t>
      </w:r>
      <w:r w:rsidR="006753F4" w:rsidRPr="000B0EC7">
        <w:t>–</w:t>
      </w:r>
      <w:r w:rsidRPr="000B0EC7">
        <w:t xml:space="preserve"> </w:t>
      </w:r>
      <w:r w:rsidR="0068539B" w:rsidRPr="000B0EC7">
        <w:t>Wykaz wskaźników dla naboru wraz z definicjami</w:t>
      </w:r>
      <w:bookmarkEnd w:id="33"/>
    </w:p>
    <w:p w14:paraId="174D24EA" w14:textId="4B7ED6A5" w:rsidR="00262E9A" w:rsidRPr="00A67904" w:rsidRDefault="00262E9A" w:rsidP="009E064E">
      <w:pPr>
        <w:pStyle w:val="Akapitzlist"/>
        <w:numPr>
          <w:ilvl w:val="0"/>
          <w:numId w:val="28"/>
        </w:numPr>
        <w:spacing w:before="360" w:after="360"/>
        <w:ind w:left="284" w:hanging="284"/>
        <w:contextualSpacing w:val="0"/>
        <w:rPr>
          <w:b/>
          <w:bCs/>
        </w:rPr>
      </w:pPr>
      <w:r w:rsidRPr="00A67904">
        <w:rPr>
          <w:b/>
          <w:bCs/>
        </w:rPr>
        <w:t xml:space="preserve">Wskaźniki </w:t>
      </w:r>
      <w:r w:rsidR="00BC169B" w:rsidRPr="00A67904">
        <w:rPr>
          <w:b/>
          <w:bCs/>
        </w:rPr>
        <w:t>produktu</w:t>
      </w:r>
    </w:p>
    <w:tbl>
      <w:tblPr>
        <w:tblStyle w:val="Tabela-Siatka"/>
        <w:tblW w:w="13750" w:type="dxa"/>
        <w:tblInd w:w="-5" w:type="dxa"/>
        <w:tblLook w:val="04A0" w:firstRow="1" w:lastRow="0" w:firstColumn="1" w:lastColumn="0" w:noHBand="0" w:noVBand="1"/>
      </w:tblPr>
      <w:tblGrid>
        <w:gridCol w:w="486"/>
        <w:gridCol w:w="1215"/>
        <w:gridCol w:w="2694"/>
        <w:gridCol w:w="9355"/>
      </w:tblGrid>
      <w:tr w:rsidR="00954891" w:rsidRPr="00DA0301" w14:paraId="2F5BAB7F" w14:textId="77777777" w:rsidTr="00E7128F">
        <w:trPr>
          <w:tblHeader/>
        </w:trPr>
        <w:tc>
          <w:tcPr>
            <w:tcW w:w="486" w:type="dxa"/>
          </w:tcPr>
          <w:p w14:paraId="767B8A1E" w14:textId="77777777" w:rsidR="00954891" w:rsidRPr="00DA0301" w:rsidRDefault="00954891" w:rsidP="00E7128F">
            <w:pPr>
              <w:spacing w:before="0" w:after="120" w:line="276" w:lineRule="auto"/>
              <w:contextualSpacing/>
              <w:rPr>
                <w:b/>
              </w:rPr>
            </w:pPr>
            <w:r w:rsidRPr="00DA0301">
              <w:rPr>
                <w:b/>
              </w:rPr>
              <w:t>Lp.</w:t>
            </w:r>
          </w:p>
        </w:tc>
        <w:tc>
          <w:tcPr>
            <w:tcW w:w="1215" w:type="dxa"/>
            <w:vAlign w:val="center"/>
          </w:tcPr>
          <w:p w14:paraId="7C6EA73E" w14:textId="77777777" w:rsidR="00954891" w:rsidRPr="00DA0301" w:rsidRDefault="00954891" w:rsidP="00E7128F">
            <w:pPr>
              <w:spacing w:before="0" w:after="120" w:line="276" w:lineRule="auto"/>
              <w:contextualSpacing/>
              <w:rPr>
                <w:b/>
              </w:rPr>
            </w:pPr>
            <w:r w:rsidRPr="00DA0301">
              <w:rPr>
                <w:b/>
              </w:rPr>
              <w:t>Kod wskaźnika</w:t>
            </w:r>
          </w:p>
        </w:tc>
        <w:tc>
          <w:tcPr>
            <w:tcW w:w="2694" w:type="dxa"/>
            <w:vAlign w:val="center"/>
          </w:tcPr>
          <w:p w14:paraId="3C12E997" w14:textId="77777777" w:rsidR="00954891" w:rsidRPr="00DA0301" w:rsidRDefault="00954891" w:rsidP="00E7128F">
            <w:pPr>
              <w:spacing w:before="0" w:after="120" w:line="276" w:lineRule="auto"/>
              <w:contextualSpacing/>
              <w:rPr>
                <w:b/>
              </w:rPr>
            </w:pPr>
            <w:r w:rsidRPr="00DA0301">
              <w:rPr>
                <w:b/>
              </w:rPr>
              <w:t xml:space="preserve">Nazwa wskaźnika </w:t>
            </w:r>
            <w:r w:rsidRPr="00DA0301">
              <w:rPr>
                <w:b/>
              </w:rPr>
              <w:br/>
              <w:t>(jednostka miary)</w:t>
            </w:r>
          </w:p>
        </w:tc>
        <w:tc>
          <w:tcPr>
            <w:tcW w:w="9355" w:type="dxa"/>
            <w:vAlign w:val="center"/>
          </w:tcPr>
          <w:p w14:paraId="3C980745" w14:textId="77777777" w:rsidR="00954891" w:rsidRPr="00DA0301" w:rsidRDefault="00954891" w:rsidP="00E7128F">
            <w:pPr>
              <w:spacing w:before="0" w:after="120" w:line="276" w:lineRule="auto"/>
              <w:contextualSpacing/>
              <w:rPr>
                <w:b/>
              </w:rPr>
            </w:pPr>
            <w:r w:rsidRPr="00DA0301">
              <w:rPr>
                <w:b/>
              </w:rPr>
              <w:t>Definicja operacyjna/kontekst prawny</w:t>
            </w:r>
          </w:p>
        </w:tc>
      </w:tr>
      <w:tr w:rsidR="00954891" w:rsidRPr="00DA0301" w14:paraId="0FD5207C" w14:textId="77777777" w:rsidTr="00E7128F">
        <w:tc>
          <w:tcPr>
            <w:tcW w:w="486" w:type="dxa"/>
          </w:tcPr>
          <w:p w14:paraId="6ACF0146" w14:textId="77777777" w:rsidR="00954891" w:rsidRPr="00DA0301" w:rsidRDefault="00954891" w:rsidP="00E7128F">
            <w:pPr>
              <w:spacing w:before="0" w:after="120" w:line="276" w:lineRule="auto"/>
              <w:contextualSpacing/>
            </w:pPr>
            <w:r w:rsidRPr="00DA0301">
              <w:t>1</w:t>
            </w:r>
          </w:p>
        </w:tc>
        <w:tc>
          <w:tcPr>
            <w:tcW w:w="1215" w:type="dxa"/>
          </w:tcPr>
          <w:p w14:paraId="2270C7FA" w14:textId="77777777" w:rsidR="00954891" w:rsidRPr="00DA0301" w:rsidRDefault="00954891" w:rsidP="00E7128F">
            <w:pPr>
              <w:spacing w:before="0" w:after="120" w:line="276" w:lineRule="auto"/>
              <w:contextualSpacing/>
            </w:pPr>
            <w:r w:rsidRPr="00DA0301">
              <w:t>PLFCO01</w:t>
            </w:r>
          </w:p>
        </w:tc>
        <w:tc>
          <w:tcPr>
            <w:tcW w:w="2694" w:type="dxa"/>
          </w:tcPr>
          <w:p w14:paraId="5BB48AE0" w14:textId="77777777" w:rsidR="00954891" w:rsidRPr="00DA0301" w:rsidRDefault="00954891" w:rsidP="00E7128F">
            <w:pPr>
              <w:spacing w:before="0" w:after="120" w:line="276" w:lineRule="auto"/>
              <w:contextualSpacing/>
            </w:pPr>
            <w:r w:rsidRPr="00DA0301">
              <w:t>Liczba dzieci objętych dodatkowymi zajęciami w edukacji przedszkolnej (osoby)</w:t>
            </w:r>
          </w:p>
        </w:tc>
        <w:tc>
          <w:tcPr>
            <w:tcW w:w="9355" w:type="dxa"/>
          </w:tcPr>
          <w:p w14:paraId="38409109" w14:textId="77777777" w:rsidR="00954891" w:rsidRPr="00DA0301" w:rsidRDefault="00954891" w:rsidP="00E7128F">
            <w:pPr>
              <w:spacing w:before="0" w:after="120" w:line="276" w:lineRule="auto"/>
            </w:pPr>
            <w:r w:rsidRPr="00DA0301">
              <w:t xml:space="preserve">Wskaźnik mierzy liczbę dzieci (niezależnie od wieku), które zostały objęte wsparciem w postaci dodatkowych zajęć zwiększających ich szanse edukacyjne w ramach edukacji przedszkolnej. </w:t>
            </w:r>
          </w:p>
          <w:p w14:paraId="2008E20F" w14:textId="77777777" w:rsidR="00954891" w:rsidRPr="00DA0301" w:rsidRDefault="00954891" w:rsidP="00E7128F">
            <w:pPr>
              <w:spacing w:before="0" w:after="120" w:line="276" w:lineRule="auto"/>
            </w:pPr>
            <w:r w:rsidRPr="00DA0301">
              <w:t>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 (np. zajęcia prowadzące do wszechstronnego rozwoju dzieci i większych szans na rynku pracy, zajęcia służące rozwojowi szerokiego zestawu umiejętności i kompetencji).</w:t>
            </w:r>
          </w:p>
        </w:tc>
      </w:tr>
      <w:tr w:rsidR="00954891" w:rsidRPr="00DA0301" w14:paraId="3B7BA77E" w14:textId="77777777" w:rsidTr="00E7128F">
        <w:tc>
          <w:tcPr>
            <w:tcW w:w="486" w:type="dxa"/>
          </w:tcPr>
          <w:p w14:paraId="7E4BF003" w14:textId="77777777" w:rsidR="00954891" w:rsidRPr="00DA0301" w:rsidRDefault="00954891" w:rsidP="00E7128F">
            <w:pPr>
              <w:spacing w:before="0" w:after="120" w:line="276" w:lineRule="auto"/>
              <w:contextualSpacing/>
            </w:pPr>
            <w:r w:rsidRPr="00DA0301">
              <w:t>2</w:t>
            </w:r>
          </w:p>
        </w:tc>
        <w:tc>
          <w:tcPr>
            <w:tcW w:w="1215" w:type="dxa"/>
          </w:tcPr>
          <w:p w14:paraId="4243A16B" w14:textId="77777777" w:rsidR="00954891" w:rsidRPr="00DA0301" w:rsidRDefault="00954891" w:rsidP="00E7128F">
            <w:pPr>
              <w:spacing w:before="0" w:after="120" w:line="276" w:lineRule="auto"/>
              <w:contextualSpacing/>
            </w:pPr>
            <w:r w:rsidRPr="00DA0301">
              <w:t>PLFCO02</w:t>
            </w:r>
          </w:p>
        </w:tc>
        <w:tc>
          <w:tcPr>
            <w:tcW w:w="2694" w:type="dxa"/>
          </w:tcPr>
          <w:p w14:paraId="3794694D" w14:textId="77777777" w:rsidR="00954891" w:rsidRPr="00DA0301" w:rsidRDefault="00954891" w:rsidP="00E7128F">
            <w:pPr>
              <w:spacing w:before="0" w:after="120" w:line="276" w:lineRule="auto"/>
              <w:contextualSpacing/>
            </w:pPr>
            <w:r w:rsidRPr="00DA0301">
              <w:t xml:space="preserve">Liczba dofinansowanych miejsc wychowania przedszkolnego </w:t>
            </w:r>
            <w:r w:rsidRPr="00DA0301">
              <w:br/>
              <w:t>(sztuki)</w:t>
            </w:r>
          </w:p>
        </w:tc>
        <w:tc>
          <w:tcPr>
            <w:tcW w:w="9355" w:type="dxa"/>
          </w:tcPr>
          <w:p w14:paraId="53988A3C" w14:textId="77777777" w:rsidR="00954891" w:rsidRPr="00DA0301" w:rsidRDefault="00954891" w:rsidP="00E7128F">
            <w:pPr>
              <w:spacing w:before="0" w:after="120" w:line="276" w:lineRule="auto"/>
            </w:pPr>
            <w:r w:rsidRPr="00DA0301">
              <w:t xml:space="preserve">Wskaźnik mierzy liczbę </w:t>
            </w:r>
            <w:r w:rsidRPr="00DA0301">
              <w:rPr>
                <w:b/>
              </w:rPr>
              <w:t>nowo utworzonych miejsc dla dzieci</w:t>
            </w:r>
            <w:r w:rsidRPr="00DA0301">
              <w:t xml:space="preserve"> w:</w:t>
            </w:r>
          </w:p>
          <w:p w14:paraId="1DFC02C8" w14:textId="77777777" w:rsidR="00954891" w:rsidRPr="00DA0301" w:rsidRDefault="00954891" w:rsidP="00954891">
            <w:pPr>
              <w:numPr>
                <w:ilvl w:val="0"/>
                <w:numId w:val="47"/>
              </w:numPr>
              <w:spacing w:before="0" w:after="120" w:line="276" w:lineRule="auto"/>
              <w:ind w:left="320" w:hanging="243"/>
              <w:contextualSpacing/>
            </w:pPr>
            <w:r w:rsidRPr="00DA0301">
              <w:t xml:space="preserve">ośrodkach wychowania przedszkolnego (tj. przedszkolach, oddziałach przedszkolnych przy szkołach podstawowych, innych formach wychowania przedszkolnego), </w:t>
            </w:r>
          </w:p>
          <w:p w14:paraId="6803641B" w14:textId="77777777" w:rsidR="00954891" w:rsidRPr="00DA0301" w:rsidRDefault="00954891" w:rsidP="00954891">
            <w:pPr>
              <w:numPr>
                <w:ilvl w:val="0"/>
                <w:numId w:val="47"/>
              </w:numPr>
              <w:spacing w:before="0" w:after="120" w:line="276" w:lineRule="auto"/>
              <w:ind w:left="320" w:hanging="243"/>
              <w:contextualSpacing/>
            </w:pPr>
            <w:r w:rsidRPr="00DA0301">
              <w:t xml:space="preserve">istniejącej bazie oświatowej, </w:t>
            </w:r>
          </w:p>
          <w:p w14:paraId="65245B83" w14:textId="77777777" w:rsidR="00954891" w:rsidRPr="00DA0301" w:rsidRDefault="00954891" w:rsidP="00954891">
            <w:pPr>
              <w:numPr>
                <w:ilvl w:val="0"/>
                <w:numId w:val="47"/>
              </w:numPr>
              <w:spacing w:before="0" w:after="120" w:line="276" w:lineRule="auto"/>
              <w:ind w:left="320" w:hanging="243"/>
              <w:contextualSpacing/>
            </w:pPr>
            <w:r w:rsidRPr="00DA0301">
              <w:t>nowej bazie lokalowej</w:t>
            </w:r>
          </w:p>
          <w:p w14:paraId="3ED7AC86" w14:textId="77777777" w:rsidR="00954891" w:rsidRPr="00DA0301" w:rsidRDefault="00954891" w:rsidP="00E7128F">
            <w:pPr>
              <w:spacing w:before="0" w:after="120" w:line="276" w:lineRule="auto"/>
            </w:pPr>
            <w:r w:rsidRPr="00DA0301">
              <w:t xml:space="preserve">w wyniku wsparcia udzielonego w projekcie. </w:t>
            </w:r>
          </w:p>
          <w:p w14:paraId="730254C9" w14:textId="77777777" w:rsidR="00954891" w:rsidRPr="00DA0301" w:rsidRDefault="00954891" w:rsidP="00E7128F">
            <w:pPr>
              <w:spacing w:before="0" w:after="120" w:line="276" w:lineRule="auto"/>
            </w:pPr>
            <w:r w:rsidRPr="00DA0301">
              <w:t xml:space="preserve">Za moment pomiaru należy uznać </w:t>
            </w:r>
            <w:r w:rsidRPr="00DA0301">
              <w:rPr>
                <w:b/>
              </w:rPr>
              <w:t>utworzenie nowego miejsca wychowania przedszkolnego.</w:t>
            </w:r>
          </w:p>
        </w:tc>
      </w:tr>
      <w:tr w:rsidR="00954891" w:rsidRPr="00DA0301" w14:paraId="018F2992" w14:textId="77777777" w:rsidTr="00E7128F">
        <w:tc>
          <w:tcPr>
            <w:tcW w:w="486" w:type="dxa"/>
          </w:tcPr>
          <w:p w14:paraId="11D56C03" w14:textId="77777777" w:rsidR="00954891" w:rsidRPr="00DA0301" w:rsidRDefault="00954891" w:rsidP="00E7128F">
            <w:pPr>
              <w:spacing w:before="0" w:after="120" w:line="276" w:lineRule="auto"/>
              <w:contextualSpacing/>
            </w:pPr>
            <w:r w:rsidRPr="00DA0301">
              <w:t>3</w:t>
            </w:r>
          </w:p>
        </w:tc>
        <w:tc>
          <w:tcPr>
            <w:tcW w:w="1215" w:type="dxa"/>
          </w:tcPr>
          <w:p w14:paraId="439D5D65" w14:textId="77777777" w:rsidR="00954891" w:rsidRPr="00DA0301" w:rsidRDefault="00954891" w:rsidP="00E7128F">
            <w:pPr>
              <w:spacing w:before="0" w:after="120" w:line="276" w:lineRule="auto"/>
              <w:contextualSpacing/>
            </w:pPr>
            <w:r w:rsidRPr="00DA0301">
              <w:t>PLFCO11</w:t>
            </w:r>
          </w:p>
        </w:tc>
        <w:tc>
          <w:tcPr>
            <w:tcW w:w="2694" w:type="dxa"/>
          </w:tcPr>
          <w:p w14:paraId="0714CF46" w14:textId="77777777" w:rsidR="00954891" w:rsidRPr="00DA0301" w:rsidRDefault="00954891" w:rsidP="00E7128F">
            <w:pPr>
              <w:spacing w:before="0" w:after="120" w:line="276" w:lineRule="auto"/>
              <w:contextualSpacing/>
            </w:pPr>
            <w:r w:rsidRPr="00DA0301">
              <w:t>Liczba miejsc wychowania przedszkolnego dostosowanych do potrzeb dzieci z niepełnosprawnością (sztuki)</w:t>
            </w:r>
          </w:p>
        </w:tc>
        <w:tc>
          <w:tcPr>
            <w:tcW w:w="9355" w:type="dxa"/>
          </w:tcPr>
          <w:p w14:paraId="44607344" w14:textId="77777777" w:rsidR="00954891" w:rsidRPr="00DA0301" w:rsidRDefault="00954891" w:rsidP="00E7128F">
            <w:pPr>
              <w:spacing w:before="0" w:after="120" w:line="276" w:lineRule="auto"/>
            </w:pPr>
            <w:r w:rsidRPr="00DA0301">
              <w:t xml:space="preserve">Wskaźnik mierzy liczbę </w:t>
            </w:r>
            <w:r w:rsidRPr="00DA0301">
              <w:rPr>
                <w:b/>
              </w:rPr>
              <w:t>istniejących miejsc wychowania przedszkolnego dostosowanych do potrzeb dzieci z niepełnosprawnościami</w:t>
            </w:r>
            <w:r w:rsidRPr="00DA0301">
              <w:t xml:space="preserve"> w:</w:t>
            </w:r>
          </w:p>
          <w:p w14:paraId="4332D271" w14:textId="77777777" w:rsidR="00954891" w:rsidRPr="00DA0301" w:rsidRDefault="00954891" w:rsidP="00954891">
            <w:pPr>
              <w:numPr>
                <w:ilvl w:val="0"/>
                <w:numId w:val="47"/>
              </w:numPr>
              <w:spacing w:before="0" w:after="120" w:line="276" w:lineRule="auto"/>
              <w:ind w:left="320" w:hanging="243"/>
              <w:contextualSpacing/>
            </w:pPr>
            <w:r w:rsidRPr="00DA0301">
              <w:t xml:space="preserve">ośrodkach wychowania przedszkolnego (tj. przedszkolach, oddziałach przedszkolnych przy szkołach podstawowych, innych formach wychowania przedszkolnego), </w:t>
            </w:r>
          </w:p>
          <w:p w14:paraId="0FC0119F" w14:textId="77777777" w:rsidR="00954891" w:rsidRPr="00DA0301" w:rsidRDefault="00954891" w:rsidP="00954891">
            <w:pPr>
              <w:numPr>
                <w:ilvl w:val="0"/>
                <w:numId w:val="47"/>
              </w:numPr>
              <w:spacing w:before="0" w:after="120" w:line="276" w:lineRule="auto"/>
              <w:ind w:left="320" w:hanging="243"/>
              <w:contextualSpacing/>
            </w:pPr>
            <w:r w:rsidRPr="00DA0301">
              <w:t xml:space="preserve">istniejącej bazie oświatowej, </w:t>
            </w:r>
          </w:p>
          <w:p w14:paraId="5670A8B3" w14:textId="77777777" w:rsidR="00954891" w:rsidRPr="00DA0301" w:rsidRDefault="00954891" w:rsidP="00954891">
            <w:pPr>
              <w:numPr>
                <w:ilvl w:val="0"/>
                <w:numId w:val="47"/>
              </w:numPr>
              <w:spacing w:before="0" w:after="120" w:line="276" w:lineRule="auto"/>
              <w:ind w:left="320" w:hanging="243"/>
              <w:contextualSpacing/>
            </w:pPr>
            <w:r w:rsidRPr="00DA0301">
              <w:t>nowej bazie lokalowej</w:t>
            </w:r>
          </w:p>
          <w:p w14:paraId="3B04ADC0" w14:textId="77777777" w:rsidR="00954891" w:rsidRPr="00DA0301" w:rsidRDefault="00954891" w:rsidP="00E7128F">
            <w:pPr>
              <w:spacing w:before="0" w:after="120" w:line="276" w:lineRule="auto"/>
            </w:pPr>
            <w:r w:rsidRPr="00DA0301">
              <w:t xml:space="preserve">w wyniku wsparcia udzielonego w projekcie. </w:t>
            </w:r>
          </w:p>
          <w:p w14:paraId="3D8A669B" w14:textId="77777777" w:rsidR="00954891" w:rsidRPr="00DA0301" w:rsidRDefault="00954891" w:rsidP="00E7128F">
            <w:pPr>
              <w:spacing w:before="0" w:after="120" w:line="276" w:lineRule="auto"/>
            </w:pPr>
            <w:r w:rsidRPr="00DA0301">
              <w:t xml:space="preserve">Za moment pomiaru należy uznać </w:t>
            </w:r>
            <w:r w:rsidRPr="00DA0301">
              <w:rPr>
                <w:b/>
              </w:rPr>
              <w:t xml:space="preserve">dostosowanie istniejącego miejsca do potrzeb dzieci </w:t>
            </w:r>
            <w:r w:rsidRPr="00DA0301">
              <w:rPr>
                <w:b/>
              </w:rPr>
              <w:br/>
              <w:t>z niepełnosprawnościami.</w:t>
            </w:r>
          </w:p>
        </w:tc>
      </w:tr>
      <w:tr w:rsidR="00954891" w:rsidRPr="00DA0301" w14:paraId="3938CC8D" w14:textId="77777777" w:rsidTr="00E7128F">
        <w:tc>
          <w:tcPr>
            <w:tcW w:w="486" w:type="dxa"/>
          </w:tcPr>
          <w:p w14:paraId="6C3A70AC" w14:textId="77777777" w:rsidR="00954891" w:rsidRPr="00DA0301" w:rsidRDefault="00954891" w:rsidP="00E7128F">
            <w:pPr>
              <w:spacing w:before="0" w:after="120" w:line="276" w:lineRule="auto"/>
              <w:contextualSpacing/>
            </w:pPr>
            <w:r w:rsidRPr="00DA0301">
              <w:t>4</w:t>
            </w:r>
          </w:p>
        </w:tc>
        <w:tc>
          <w:tcPr>
            <w:tcW w:w="1215" w:type="dxa"/>
          </w:tcPr>
          <w:p w14:paraId="19015DE4" w14:textId="77777777" w:rsidR="00954891" w:rsidRPr="00DA0301" w:rsidRDefault="00954891" w:rsidP="00E7128F">
            <w:pPr>
              <w:spacing w:before="0" w:after="120" w:line="276" w:lineRule="auto"/>
              <w:contextualSpacing/>
            </w:pPr>
            <w:r w:rsidRPr="00DA0301">
              <w:t>PLFCO06</w:t>
            </w:r>
          </w:p>
        </w:tc>
        <w:tc>
          <w:tcPr>
            <w:tcW w:w="2694" w:type="dxa"/>
          </w:tcPr>
          <w:p w14:paraId="647BA5F4" w14:textId="77777777" w:rsidR="00954891" w:rsidRPr="00DA0301" w:rsidRDefault="00954891" w:rsidP="00E7128F">
            <w:pPr>
              <w:spacing w:before="0" w:after="120" w:line="276" w:lineRule="auto"/>
            </w:pPr>
            <w:r w:rsidRPr="00DA0301">
              <w:t xml:space="preserve">Liczba przedstawicieli kadry szkół i placówek systemu oświaty objętych wsparciem </w:t>
            </w:r>
            <w:r w:rsidRPr="00DA0301">
              <w:br/>
              <w:t xml:space="preserve">(osoby) </w:t>
            </w:r>
          </w:p>
        </w:tc>
        <w:tc>
          <w:tcPr>
            <w:tcW w:w="9355" w:type="dxa"/>
          </w:tcPr>
          <w:p w14:paraId="769A6F55" w14:textId="77777777" w:rsidR="00954891" w:rsidRPr="00DA0301" w:rsidRDefault="00954891" w:rsidP="00E7128F">
            <w:pPr>
              <w:spacing w:before="0" w:after="120" w:line="276" w:lineRule="auto"/>
            </w:pPr>
            <w:r w:rsidRPr="00DA0301">
              <w:t>Wskaźnik mierzy liczbę nauczycieli, innych przedstawicieli kadr pedagogicznych i niepedagogicznych oraz dyrektorów szkół i placówek systemu oświaty objętych wsparciem w ramach programu.</w:t>
            </w:r>
          </w:p>
          <w:p w14:paraId="1DAE0D16" w14:textId="77777777" w:rsidR="00954891" w:rsidRPr="00DA0301" w:rsidRDefault="00954891" w:rsidP="00E7128F">
            <w:pPr>
              <w:spacing w:before="0" w:after="120" w:line="276" w:lineRule="auto"/>
            </w:pPr>
            <w:r w:rsidRPr="00DA0301">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tc>
      </w:tr>
      <w:tr w:rsidR="00954891" w:rsidRPr="00DA0301" w14:paraId="715499B5" w14:textId="77777777" w:rsidTr="00E7128F">
        <w:tc>
          <w:tcPr>
            <w:tcW w:w="486" w:type="dxa"/>
          </w:tcPr>
          <w:p w14:paraId="530C029B" w14:textId="77777777" w:rsidR="00954891" w:rsidRPr="00DA0301" w:rsidRDefault="00954891" w:rsidP="00E7128F">
            <w:pPr>
              <w:spacing w:before="0" w:after="120" w:line="276" w:lineRule="auto"/>
              <w:contextualSpacing/>
            </w:pPr>
            <w:r w:rsidRPr="00DA0301">
              <w:t>5</w:t>
            </w:r>
          </w:p>
        </w:tc>
        <w:tc>
          <w:tcPr>
            <w:tcW w:w="1215" w:type="dxa"/>
          </w:tcPr>
          <w:p w14:paraId="0ECCD5CB" w14:textId="77777777" w:rsidR="00954891" w:rsidRPr="00DA0301" w:rsidRDefault="00954891" w:rsidP="00E7128F">
            <w:pPr>
              <w:spacing w:before="0" w:after="120" w:line="276" w:lineRule="auto"/>
              <w:contextualSpacing/>
            </w:pPr>
            <w:r w:rsidRPr="00DA0301">
              <w:t>PLFCO07</w:t>
            </w:r>
          </w:p>
        </w:tc>
        <w:tc>
          <w:tcPr>
            <w:tcW w:w="2694" w:type="dxa"/>
          </w:tcPr>
          <w:p w14:paraId="63328C49" w14:textId="77777777" w:rsidR="00954891" w:rsidRPr="00DA0301" w:rsidRDefault="00954891" w:rsidP="00E7128F">
            <w:pPr>
              <w:spacing w:before="0" w:after="120" w:line="276" w:lineRule="auto"/>
              <w:contextualSpacing/>
            </w:pPr>
            <w:r w:rsidRPr="00DA0301">
              <w:t xml:space="preserve">Liczba szkół i placówek systemu oświaty objętych wsparciem </w:t>
            </w:r>
            <w:r w:rsidRPr="00DA0301">
              <w:br/>
              <w:t>(podmioty)</w:t>
            </w:r>
          </w:p>
        </w:tc>
        <w:tc>
          <w:tcPr>
            <w:tcW w:w="9355" w:type="dxa"/>
          </w:tcPr>
          <w:p w14:paraId="253CA78F" w14:textId="77777777" w:rsidR="00954891" w:rsidRPr="00DA0301" w:rsidRDefault="00954891" w:rsidP="00E7128F">
            <w:pPr>
              <w:spacing w:before="0" w:after="120" w:line="276" w:lineRule="auto"/>
            </w:pPr>
            <w:r w:rsidRPr="00DA0301">
              <w:t xml:space="preserve">Wskaźnik mierzy liczbę szkół i placówek systemu oświaty objętych wsparciem.  </w:t>
            </w:r>
          </w:p>
          <w:p w14:paraId="22F4E707" w14:textId="77777777" w:rsidR="00954891" w:rsidRPr="00DA0301" w:rsidRDefault="00954891" w:rsidP="00E7128F">
            <w:pPr>
              <w:spacing w:before="0" w:after="120" w:line="276" w:lineRule="auto"/>
            </w:pPr>
            <w:r w:rsidRPr="00DA0301">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84FB55C" w14:textId="77777777" w:rsidR="00954891" w:rsidRPr="00DA0301" w:rsidRDefault="00954891" w:rsidP="00E7128F">
            <w:pPr>
              <w:spacing w:before="0" w:after="120" w:line="276" w:lineRule="auto"/>
            </w:pPr>
            <w:r w:rsidRPr="00DA0301">
              <w:t xml:space="preserve">Wskaźnik nie ma zastosowania do poradni psychologiczno-pedagogicznych. </w:t>
            </w:r>
          </w:p>
          <w:p w14:paraId="14ED5EA5" w14:textId="77777777" w:rsidR="00954891" w:rsidRPr="00DA0301" w:rsidRDefault="00954891" w:rsidP="00E7128F">
            <w:pPr>
              <w:spacing w:before="0" w:after="120" w:line="276" w:lineRule="auto"/>
            </w:pPr>
            <w:r w:rsidRPr="00DA0301">
              <w:t xml:space="preserve">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  </w:t>
            </w:r>
          </w:p>
        </w:tc>
      </w:tr>
      <w:tr w:rsidR="00954891" w:rsidRPr="00DA0301" w14:paraId="49CF8D89" w14:textId="77777777" w:rsidTr="00E7128F">
        <w:tc>
          <w:tcPr>
            <w:tcW w:w="486" w:type="dxa"/>
          </w:tcPr>
          <w:p w14:paraId="5599B6AE" w14:textId="77777777" w:rsidR="00954891" w:rsidRPr="00DA0301" w:rsidRDefault="00954891" w:rsidP="00E7128F">
            <w:pPr>
              <w:spacing w:before="0" w:after="120" w:line="276" w:lineRule="auto"/>
              <w:contextualSpacing/>
            </w:pPr>
            <w:r w:rsidRPr="00DA0301">
              <w:t>6</w:t>
            </w:r>
          </w:p>
        </w:tc>
        <w:tc>
          <w:tcPr>
            <w:tcW w:w="1215" w:type="dxa"/>
          </w:tcPr>
          <w:p w14:paraId="050209DB" w14:textId="77777777" w:rsidR="00954891" w:rsidRPr="00DA0301" w:rsidRDefault="00954891" w:rsidP="00E7128F">
            <w:pPr>
              <w:spacing w:before="0" w:after="120" w:line="276" w:lineRule="auto"/>
              <w:contextualSpacing/>
            </w:pPr>
            <w:r w:rsidRPr="00DA0301">
              <w:t>PLFCO08</w:t>
            </w:r>
          </w:p>
        </w:tc>
        <w:tc>
          <w:tcPr>
            <w:tcW w:w="2694" w:type="dxa"/>
          </w:tcPr>
          <w:p w14:paraId="3A40C577" w14:textId="77777777" w:rsidR="00954891" w:rsidRPr="00DA0301" w:rsidRDefault="00954891" w:rsidP="00E7128F">
            <w:pPr>
              <w:spacing w:before="0" w:after="120" w:line="276" w:lineRule="auto"/>
              <w:contextualSpacing/>
            </w:pPr>
            <w:r w:rsidRPr="00DA0301">
              <w:t xml:space="preserve">Liczba dzieci/uczniów </w:t>
            </w:r>
            <w:r w:rsidRPr="00DA0301">
              <w:br/>
              <w:t xml:space="preserve">o specjalnych potrzebach rozwojowych i edukacyjnych, objętych wsparciem </w:t>
            </w:r>
            <w:r w:rsidRPr="00DA0301">
              <w:br/>
              <w:t>(osoby)</w:t>
            </w:r>
          </w:p>
        </w:tc>
        <w:tc>
          <w:tcPr>
            <w:tcW w:w="9355" w:type="dxa"/>
          </w:tcPr>
          <w:p w14:paraId="61E434D4" w14:textId="77777777" w:rsidR="00954891" w:rsidRPr="00DA0301" w:rsidRDefault="00954891" w:rsidP="00E7128F">
            <w:pPr>
              <w:spacing w:before="0" w:after="120" w:line="276" w:lineRule="auto"/>
            </w:pPr>
            <w:r w:rsidRPr="00DA0301">
              <w:t>Wskaźnik mierzy liczbę dzieci/uczniów objętych w ramach programu wsparciem w zakresie zidentyfikowanych specjalnych potrzeb rozwojowych i edukacyjnych, w tym wynikających z niepełnosprawności.</w:t>
            </w:r>
          </w:p>
          <w:p w14:paraId="0ACB979D" w14:textId="77777777" w:rsidR="00954891" w:rsidRPr="00DA0301" w:rsidRDefault="00954891" w:rsidP="00E7128F">
            <w:pPr>
              <w:spacing w:before="0" w:after="120" w:line="276" w:lineRule="auto"/>
            </w:pPr>
            <w:r w:rsidRPr="00DA0301">
              <w:t>Jako specjalne potrzeby rozwojowe i edukacyjne należy rozumieć indywidualne potrzeby oraz możliwości psychofizyczne dzieci w wieku przedszkolnym oraz uczniów, o których mowa w rozporządzeniu Ministra Edukacji Narodowej z dnia 9 sierpnia 2017 r. w sprawie zasad organizacji i udzielania pomocy psychologiczno-pedagogicznej w publicznych przedszkolach, szkołach i placówkach.</w:t>
            </w:r>
          </w:p>
          <w:p w14:paraId="3F841968" w14:textId="77777777" w:rsidR="00954891" w:rsidRPr="00DA0301" w:rsidRDefault="00954891" w:rsidP="00E7128F">
            <w:pPr>
              <w:spacing w:before="0" w:after="120" w:line="276" w:lineRule="auto"/>
            </w:pPr>
            <w:r w:rsidRPr="00DA0301">
              <w:t>Wskaźnik jest wskaźnikiem podrzędnym w stosunku do PLFCO01.</w:t>
            </w:r>
          </w:p>
        </w:tc>
      </w:tr>
      <w:tr w:rsidR="00954891" w:rsidRPr="00DA0301" w14:paraId="1CAC814D" w14:textId="77777777" w:rsidTr="00E7128F">
        <w:tc>
          <w:tcPr>
            <w:tcW w:w="486" w:type="dxa"/>
          </w:tcPr>
          <w:p w14:paraId="3A75AA0B" w14:textId="77777777" w:rsidR="00954891" w:rsidRPr="00DA0301" w:rsidRDefault="00954891" w:rsidP="00E7128F">
            <w:pPr>
              <w:spacing w:before="0" w:after="120" w:line="276" w:lineRule="auto"/>
              <w:contextualSpacing/>
            </w:pPr>
            <w:r w:rsidRPr="00DA0301">
              <w:t>7</w:t>
            </w:r>
          </w:p>
        </w:tc>
        <w:tc>
          <w:tcPr>
            <w:tcW w:w="1215" w:type="dxa"/>
          </w:tcPr>
          <w:p w14:paraId="4F0949B4" w14:textId="77777777" w:rsidR="00954891" w:rsidRPr="00DA0301" w:rsidRDefault="00954891" w:rsidP="00E7128F">
            <w:pPr>
              <w:spacing w:before="0" w:after="120" w:line="276" w:lineRule="auto"/>
              <w:contextualSpacing/>
            </w:pPr>
            <w:r w:rsidRPr="00DA0301">
              <w:t>PLFCO09</w:t>
            </w:r>
          </w:p>
        </w:tc>
        <w:tc>
          <w:tcPr>
            <w:tcW w:w="2694" w:type="dxa"/>
          </w:tcPr>
          <w:p w14:paraId="325D52D6" w14:textId="77777777" w:rsidR="00954891" w:rsidRPr="00DA0301" w:rsidRDefault="00954891" w:rsidP="00E7128F">
            <w:pPr>
              <w:spacing w:before="0" w:after="120" w:line="276" w:lineRule="auto"/>
              <w:contextualSpacing/>
            </w:pPr>
            <w:r w:rsidRPr="00DA0301">
              <w:t xml:space="preserve">Liczba dzieci lub uczniów </w:t>
            </w:r>
            <w:r w:rsidRPr="00DA0301">
              <w:br/>
              <w:t xml:space="preserve">o specjalnych potrzebach rozwojowych i edukacyjnych, którzy zostali objęci usługami asystenta </w:t>
            </w:r>
            <w:r w:rsidRPr="00DA0301">
              <w:br/>
              <w:t>(osoby)</w:t>
            </w:r>
          </w:p>
        </w:tc>
        <w:tc>
          <w:tcPr>
            <w:tcW w:w="9355" w:type="dxa"/>
          </w:tcPr>
          <w:p w14:paraId="413FAA6B" w14:textId="77777777" w:rsidR="00954891" w:rsidRPr="00DA0301" w:rsidRDefault="00954891" w:rsidP="00E7128F">
            <w:pPr>
              <w:spacing w:before="0" w:after="120" w:line="276" w:lineRule="auto"/>
            </w:pPr>
            <w:r w:rsidRPr="00DA0301">
              <w:t xml:space="preserve">Wskaźnik mierzy liczbę dzieci i uczniów, którzy zostali objęci opieką asystenta/ skorzystali z usług asystenckich. </w:t>
            </w:r>
          </w:p>
          <w:p w14:paraId="42799A12" w14:textId="77777777" w:rsidR="00954891" w:rsidRPr="00DA0301" w:rsidRDefault="00954891" w:rsidP="00E7128F">
            <w:pPr>
              <w:spacing w:before="0" w:after="120" w:line="276" w:lineRule="auto"/>
            </w:pPr>
            <w:r w:rsidRPr="00DA0301">
              <w:t>Wskaźnik mierzony jest w momencie, gdy dziecko lub uczeń pierwszy raz skorzysta z usług asystenta.</w:t>
            </w:r>
          </w:p>
          <w:p w14:paraId="4E187E27" w14:textId="77777777" w:rsidR="00954891" w:rsidRPr="00DA0301" w:rsidRDefault="00954891" w:rsidP="00E7128F">
            <w:pPr>
              <w:spacing w:before="0" w:after="120" w:line="276" w:lineRule="auto"/>
            </w:pPr>
            <w:r w:rsidRPr="00DA0301">
              <w:t>Wskaźnik jest wskaźnikiem podrzędnym w stosunku do PLFCO08.</w:t>
            </w:r>
          </w:p>
        </w:tc>
      </w:tr>
      <w:tr w:rsidR="00954891" w:rsidRPr="00DA0301" w14:paraId="0159866C" w14:textId="77777777" w:rsidTr="00E7128F">
        <w:tc>
          <w:tcPr>
            <w:tcW w:w="486" w:type="dxa"/>
          </w:tcPr>
          <w:p w14:paraId="20E9265D" w14:textId="77777777" w:rsidR="00954891" w:rsidRPr="00DA0301" w:rsidRDefault="00954891" w:rsidP="00E7128F">
            <w:pPr>
              <w:spacing w:before="0" w:after="120" w:line="276" w:lineRule="auto"/>
              <w:contextualSpacing/>
            </w:pPr>
            <w:r w:rsidRPr="00DA0301">
              <w:t>8</w:t>
            </w:r>
          </w:p>
        </w:tc>
        <w:tc>
          <w:tcPr>
            <w:tcW w:w="1215" w:type="dxa"/>
          </w:tcPr>
          <w:p w14:paraId="2B718AE3" w14:textId="77777777" w:rsidR="00954891" w:rsidRPr="00DA0301" w:rsidRDefault="00954891" w:rsidP="00E7128F">
            <w:pPr>
              <w:spacing w:before="0" w:after="120" w:line="276" w:lineRule="auto"/>
              <w:contextualSpacing/>
            </w:pPr>
            <w:r w:rsidRPr="00DA0301">
              <w:t>PLFCO10</w:t>
            </w:r>
          </w:p>
        </w:tc>
        <w:tc>
          <w:tcPr>
            <w:tcW w:w="2694" w:type="dxa"/>
          </w:tcPr>
          <w:p w14:paraId="3DE9FCC8" w14:textId="77777777" w:rsidR="00954891" w:rsidRPr="00DA0301" w:rsidRDefault="00954891" w:rsidP="00E7128F">
            <w:pPr>
              <w:spacing w:before="0" w:after="120" w:line="276" w:lineRule="auto"/>
              <w:contextualSpacing/>
            </w:pPr>
            <w:r w:rsidRPr="00DA0301">
              <w:t>Liczba obiektów edukacyjnych dostosowanych do potrzeb osób z niepełnosprawnościami (sztuki)</w:t>
            </w:r>
          </w:p>
        </w:tc>
        <w:tc>
          <w:tcPr>
            <w:tcW w:w="9355" w:type="dxa"/>
          </w:tcPr>
          <w:p w14:paraId="54936816" w14:textId="77777777" w:rsidR="00954891" w:rsidRPr="00DA0301" w:rsidRDefault="00954891" w:rsidP="00E7128F">
            <w:pPr>
              <w:spacing w:before="0" w:after="120" w:line="276" w:lineRule="auto"/>
            </w:pPr>
            <w:r w:rsidRPr="00DA0301">
              <w:t>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 szczególności barier architektonicznych) ułatwiające dostęp do tych obiektów i poruszanie się po nich oraz korzystanie z oferty edukacyjnej przez osoby z niepełnosprawnościami, w szczególności ruchowymi czy sensorycznymi.</w:t>
            </w:r>
          </w:p>
          <w:p w14:paraId="360CEF41" w14:textId="77777777" w:rsidR="00954891" w:rsidRPr="00DA0301" w:rsidRDefault="00954891" w:rsidP="00E7128F">
            <w:pPr>
              <w:spacing w:before="0" w:after="120" w:line="276" w:lineRule="auto"/>
            </w:pPr>
            <w:r w:rsidRPr="00DA0301">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9437398" w14:textId="77777777" w:rsidR="00954891" w:rsidRPr="00DA0301" w:rsidRDefault="00954891" w:rsidP="00E7128F">
            <w:pPr>
              <w:spacing w:before="0" w:after="120" w:line="276" w:lineRule="auto"/>
            </w:pPr>
            <w:r w:rsidRPr="00DA0301">
              <w:t>Jako obiekty należy rozumieć konstrukcje połączone z gruntem w sposób trwały, wykonane z materiałów budowlanych i elementów składowych, będące wynikiem prac budowlanych (wg def. PKOB).</w:t>
            </w:r>
          </w:p>
          <w:p w14:paraId="1BB6660A" w14:textId="77777777" w:rsidR="00954891" w:rsidRPr="00DA0301" w:rsidRDefault="00954891" w:rsidP="00E7128F">
            <w:pPr>
              <w:spacing w:before="0" w:after="120" w:line="276" w:lineRule="auto"/>
            </w:pPr>
            <w:r w:rsidRPr="00DA0301">
              <w:t xml:space="preserve">Należy podać liczbę obiektów, a nie sprzętów, urządzeń itp., w które obiekty zaopatrzono. Jeśli szkoła lub placówka składa się z kilku obiektów, należy zliczyć wszystkie, które dostosowano do potrzeb osób z niepełnosprawnościami.  </w:t>
            </w:r>
          </w:p>
          <w:p w14:paraId="3F753C9D" w14:textId="77777777" w:rsidR="00954891" w:rsidRPr="00DA0301" w:rsidRDefault="00954891" w:rsidP="00E7128F">
            <w:pPr>
              <w:spacing w:before="0" w:after="120" w:line="276" w:lineRule="auto"/>
            </w:pPr>
            <w:r w:rsidRPr="00DA0301">
              <w:t>Każdy odrębny budynek należy traktować jako obiekt, tj. jeżeli dana szkoła, ośrodek wychowania przedszkolnego itd. składa się z kilku budynków, wówczas do wskaźnika należy wliczyć osobno każdy budynek, który został dostosowany do potrzeb osób z niepełnosprawnościami.</w:t>
            </w:r>
          </w:p>
          <w:p w14:paraId="0FA3289B" w14:textId="77777777" w:rsidR="00954891" w:rsidRPr="00DA0301" w:rsidRDefault="00954891" w:rsidP="00E7128F">
            <w:pPr>
              <w:spacing w:before="0" w:after="120" w:line="276" w:lineRule="auto"/>
            </w:pPr>
            <w:r w:rsidRPr="00DA0301">
              <w:t>Wskaźnik mierzony w momencie rozliczenia wydatku związanego z wyposażeniem obiektów w rozwiązania służące osobom z niepełnosprawnościami w ramach danego projektu.</w:t>
            </w:r>
          </w:p>
        </w:tc>
      </w:tr>
      <w:tr w:rsidR="00954891" w:rsidRPr="00DA0301" w14:paraId="476DA932" w14:textId="77777777" w:rsidTr="00E7128F">
        <w:tc>
          <w:tcPr>
            <w:tcW w:w="486" w:type="dxa"/>
          </w:tcPr>
          <w:p w14:paraId="628694FB" w14:textId="77777777" w:rsidR="00954891" w:rsidRPr="00DA0301" w:rsidRDefault="00954891" w:rsidP="00E7128F">
            <w:pPr>
              <w:spacing w:before="0" w:after="120" w:line="276" w:lineRule="auto"/>
              <w:contextualSpacing/>
            </w:pPr>
            <w:r w:rsidRPr="00DA0301">
              <w:t>9</w:t>
            </w:r>
          </w:p>
        </w:tc>
        <w:tc>
          <w:tcPr>
            <w:tcW w:w="1215" w:type="dxa"/>
          </w:tcPr>
          <w:p w14:paraId="600E406B" w14:textId="77777777" w:rsidR="00954891" w:rsidRPr="00DA0301" w:rsidRDefault="00954891" w:rsidP="00E7128F">
            <w:pPr>
              <w:spacing w:before="0" w:after="120" w:line="276" w:lineRule="auto"/>
              <w:contextualSpacing/>
            </w:pPr>
            <w:r w:rsidRPr="00DA0301">
              <w:t>PLFCO12</w:t>
            </w:r>
          </w:p>
        </w:tc>
        <w:tc>
          <w:tcPr>
            <w:tcW w:w="2694" w:type="dxa"/>
          </w:tcPr>
          <w:p w14:paraId="1DCA2902" w14:textId="77777777" w:rsidR="00954891" w:rsidRPr="00DA0301" w:rsidRDefault="00954891" w:rsidP="00E7128F">
            <w:pPr>
              <w:spacing w:before="0" w:after="120" w:line="276" w:lineRule="auto"/>
              <w:contextualSpacing/>
            </w:pPr>
            <w:r w:rsidRPr="00DA0301">
              <w:t>Liczba ogólnodostępnych szkół i placówek systemu oświaty objętych wsparciem w zakresie edukacji włączającej (sztuki)</w:t>
            </w:r>
          </w:p>
        </w:tc>
        <w:tc>
          <w:tcPr>
            <w:tcW w:w="9355" w:type="dxa"/>
          </w:tcPr>
          <w:p w14:paraId="6F93E6EC" w14:textId="77777777" w:rsidR="00954891" w:rsidRPr="00DA0301" w:rsidRDefault="00954891" w:rsidP="00E7128F">
            <w:pPr>
              <w:spacing w:before="0" w:after="120" w:line="276" w:lineRule="auto"/>
            </w:pPr>
            <w:r w:rsidRPr="00DA0301">
              <w:t xml:space="preserve">Wskaźnik mierzy liczbę szkół i placówek systemu oświaty objętych wsparciem w zakresie edukacji włączającej.  </w:t>
            </w:r>
          </w:p>
          <w:p w14:paraId="180EEA97" w14:textId="77777777" w:rsidR="00954891" w:rsidRPr="00DA0301" w:rsidRDefault="00954891" w:rsidP="00E7128F">
            <w:pPr>
              <w:spacing w:before="0" w:after="120" w:line="276" w:lineRule="auto"/>
            </w:pPr>
            <w:r w:rsidRPr="00DA0301">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0F4A6A44" w14:textId="77777777" w:rsidR="00954891" w:rsidRPr="00DA0301" w:rsidRDefault="00954891" w:rsidP="00E7128F">
            <w:pPr>
              <w:spacing w:before="0" w:after="120" w:line="276" w:lineRule="auto"/>
            </w:pPr>
            <w:r w:rsidRPr="00DA0301">
              <w:t xml:space="preserve">Wskaźnik nie ma zastosowania do poradni psychologiczno-pedagogicznych i szkół specjalnych. </w:t>
            </w:r>
          </w:p>
          <w:p w14:paraId="34DB6A27" w14:textId="77777777" w:rsidR="00954891" w:rsidRPr="00DA0301" w:rsidRDefault="00954891" w:rsidP="00E7128F">
            <w:pPr>
              <w:spacing w:before="0" w:after="120" w:line="276" w:lineRule="auto"/>
            </w:pPr>
            <w:r w:rsidRPr="00DA0301">
              <w:t>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w:t>
            </w:r>
          </w:p>
          <w:p w14:paraId="60841D87" w14:textId="77777777" w:rsidR="00954891" w:rsidRPr="00DA0301" w:rsidRDefault="00954891" w:rsidP="00E7128F">
            <w:pPr>
              <w:spacing w:before="0" w:after="120" w:line="276" w:lineRule="auto"/>
            </w:pPr>
            <w:r w:rsidRPr="00DA0301">
              <w:t>Wskaźnik jest wskaźnikiem podrzędnym w stosunku do PLFCO07.</w:t>
            </w:r>
          </w:p>
        </w:tc>
      </w:tr>
      <w:tr w:rsidR="00954891" w:rsidRPr="00DA0301" w14:paraId="72E5DE55" w14:textId="77777777" w:rsidTr="00E7128F">
        <w:tc>
          <w:tcPr>
            <w:tcW w:w="486" w:type="dxa"/>
          </w:tcPr>
          <w:p w14:paraId="5500C53F" w14:textId="77777777" w:rsidR="00954891" w:rsidRPr="00DA0301" w:rsidRDefault="00954891" w:rsidP="00E7128F">
            <w:pPr>
              <w:spacing w:before="0" w:after="120" w:line="276" w:lineRule="auto"/>
              <w:contextualSpacing/>
            </w:pPr>
            <w:r w:rsidRPr="00DA0301">
              <w:t>10</w:t>
            </w:r>
          </w:p>
        </w:tc>
        <w:tc>
          <w:tcPr>
            <w:tcW w:w="1215" w:type="dxa"/>
          </w:tcPr>
          <w:p w14:paraId="199BD2D0" w14:textId="77777777" w:rsidR="00954891" w:rsidRPr="00DA0301" w:rsidRDefault="00954891" w:rsidP="00E7128F">
            <w:pPr>
              <w:spacing w:before="0" w:after="120" w:line="276" w:lineRule="auto"/>
              <w:contextualSpacing/>
            </w:pPr>
            <w:r w:rsidRPr="00DA0301">
              <w:t>PLFCO14</w:t>
            </w:r>
          </w:p>
        </w:tc>
        <w:tc>
          <w:tcPr>
            <w:tcW w:w="2694" w:type="dxa"/>
          </w:tcPr>
          <w:p w14:paraId="09F32FA3" w14:textId="77777777" w:rsidR="00954891" w:rsidRPr="00DA0301" w:rsidRDefault="00954891" w:rsidP="00E7128F">
            <w:pPr>
              <w:spacing w:before="0" w:after="120" w:line="276" w:lineRule="auto"/>
              <w:contextualSpacing/>
            </w:pPr>
            <w:r w:rsidRPr="00DA0301">
              <w:t>Liczba przedstawicieli kadr szkół i placówek systemu oświaty objętych wsparciem świadczonym przez szkoły ćwiczeń (osoby)</w:t>
            </w:r>
          </w:p>
        </w:tc>
        <w:tc>
          <w:tcPr>
            <w:tcW w:w="9355" w:type="dxa"/>
          </w:tcPr>
          <w:p w14:paraId="51772AEC" w14:textId="77777777" w:rsidR="00954891" w:rsidRPr="00DA0301" w:rsidRDefault="00954891" w:rsidP="00E7128F">
            <w:pPr>
              <w:spacing w:before="0" w:after="120" w:line="276" w:lineRule="auto"/>
            </w:pPr>
            <w:r w:rsidRPr="00DA0301">
              <w:t>Wskaźnik mierzy liczbę nauczycieli, innych przedstawicieli kadr pedagogicznych i niepedagogicznych oraz dyrektorów szkół i placówek systemu oświaty objętych wsparciem w ramach programu świadczonym przez szkoły ćwiczeń.</w:t>
            </w:r>
          </w:p>
          <w:p w14:paraId="63B68E1A" w14:textId="77777777" w:rsidR="00954891" w:rsidRPr="00DA0301" w:rsidRDefault="00954891" w:rsidP="00E7128F">
            <w:pPr>
              <w:spacing w:before="0" w:after="120" w:line="276" w:lineRule="auto"/>
            </w:pPr>
            <w:r w:rsidRPr="00DA0301">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6D766AA3" w14:textId="77777777" w:rsidR="00954891" w:rsidRPr="00DA0301" w:rsidRDefault="00954891" w:rsidP="00E7128F">
            <w:pPr>
              <w:spacing w:before="0" w:after="120" w:line="276" w:lineRule="auto"/>
            </w:pPr>
            <w:r w:rsidRPr="00DA0301">
              <w:t>Wskaźnik jest wskaźnikiem podrzędnym w stosunku do PLFCO06.</w:t>
            </w:r>
          </w:p>
        </w:tc>
      </w:tr>
      <w:tr w:rsidR="00954891" w:rsidRPr="00DA0301" w14:paraId="113DA0F6" w14:textId="77777777" w:rsidTr="00E7128F">
        <w:tc>
          <w:tcPr>
            <w:tcW w:w="486" w:type="dxa"/>
          </w:tcPr>
          <w:p w14:paraId="778F4B1A" w14:textId="77777777" w:rsidR="00954891" w:rsidRPr="00DA0301" w:rsidRDefault="00954891" w:rsidP="00E7128F">
            <w:pPr>
              <w:spacing w:before="0" w:after="120" w:line="276" w:lineRule="auto"/>
              <w:contextualSpacing/>
            </w:pPr>
            <w:r w:rsidRPr="00DA0301">
              <w:t>11</w:t>
            </w:r>
          </w:p>
        </w:tc>
        <w:tc>
          <w:tcPr>
            <w:tcW w:w="1215" w:type="dxa"/>
          </w:tcPr>
          <w:p w14:paraId="4F4117C2" w14:textId="77777777" w:rsidR="00954891" w:rsidRPr="00DA0301" w:rsidRDefault="00954891" w:rsidP="00E7128F">
            <w:pPr>
              <w:spacing w:before="0" w:after="120" w:line="276" w:lineRule="auto"/>
              <w:contextualSpacing/>
              <w:rPr>
                <w:b/>
              </w:rPr>
            </w:pPr>
            <w:r w:rsidRPr="00DA0301">
              <w:t>EECO12</w:t>
            </w:r>
          </w:p>
        </w:tc>
        <w:tc>
          <w:tcPr>
            <w:tcW w:w="2694" w:type="dxa"/>
          </w:tcPr>
          <w:p w14:paraId="0F395C4C" w14:textId="77777777" w:rsidR="00954891" w:rsidRPr="00DA0301" w:rsidRDefault="00954891" w:rsidP="00E7128F">
            <w:pPr>
              <w:spacing w:before="0" w:after="120" w:line="276" w:lineRule="auto"/>
              <w:contextualSpacing/>
              <w:rPr>
                <w:b/>
              </w:rPr>
            </w:pPr>
            <w:r w:rsidRPr="00DA0301">
              <w:t xml:space="preserve">Liczba osób z niepełnosprawnościami objętych wsparciem </w:t>
            </w:r>
            <w:r w:rsidRPr="00DA0301">
              <w:br/>
              <w:t>w programie (osoby)</w:t>
            </w:r>
          </w:p>
        </w:tc>
        <w:tc>
          <w:tcPr>
            <w:tcW w:w="9355" w:type="dxa"/>
          </w:tcPr>
          <w:p w14:paraId="26969BE3" w14:textId="77777777" w:rsidR="00954891" w:rsidRPr="00DA0301" w:rsidRDefault="00954891" w:rsidP="00E7128F">
            <w:pPr>
              <w:spacing w:before="0" w:after="120" w:line="276" w:lineRule="auto"/>
            </w:pPr>
            <w:r w:rsidRPr="00DA0301">
              <w:t xml:space="preserve">Za osoby z niepełnosprawnościami uznaje się osoby niepełnosprawne w świetle przepisów ustawy </w:t>
            </w:r>
            <w:r w:rsidRPr="00DA0301">
              <w:br/>
              <w:t xml:space="preserve">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7AE729DB" w14:textId="77777777" w:rsidR="00954891" w:rsidRPr="00DA0301" w:rsidRDefault="00954891" w:rsidP="00E7128F">
            <w:pPr>
              <w:spacing w:before="0" w:after="120" w:line="276" w:lineRule="auto"/>
            </w:pPr>
            <w:r w:rsidRPr="00DA0301">
              <w:t>Przynależność do grupy osób z niepełnosprawnościami określana jest w momencie rozpoczęcia udziału w projekcie, tj. w chwili rozpoczęcia udziału w pierwszej formie wsparcia w projekcie.</w:t>
            </w:r>
          </w:p>
        </w:tc>
      </w:tr>
      <w:tr w:rsidR="00954891" w:rsidRPr="00DA0301" w14:paraId="6E10E457" w14:textId="77777777" w:rsidTr="00E7128F">
        <w:tc>
          <w:tcPr>
            <w:tcW w:w="486" w:type="dxa"/>
          </w:tcPr>
          <w:p w14:paraId="0454AE26" w14:textId="77777777" w:rsidR="00954891" w:rsidRPr="00DA0301" w:rsidRDefault="00954891" w:rsidP="00E7128F">
            <w:pPr>
              <w:spacing w:before="0" w:after="120" w:line="276" w:lineRule="auto"/>
              <w:contextualSpacing/>
            </w:pPr>
            <w:r w:rsidRPr="00DA0301">
              <w:t>12</w:t>
            </w:r>
          </w:p>
        </w:tc>
        <w:tc>
          <w:tcPr>
            <w:tcW w:w="1215" w:type="dxa"/>
          </w:tcPr>
          <w:p w14:paraId="3FA9A4CC" w14:textId="77777777" w:rsidR="00954891" w:rsidRPr="00DA0301" w:rsidRDefault="00954891" w:rsidP="00E7128F">
            <w:pPr>
              <w:spacing w:before="0" w:after="120" w:line="276" w:lineRule="auto"/>
              <w:contextualSpacing/>
            </w:pPr>
            <w:r w:rsidRPr="00DA0301">
              <w:t>EECO13</w:t>
            </w:r>
          </w:p>
        </w:tc>
        <w:tc>
          <w:tcPr>
            <w:tcW w:w="2694" w:type="dxa"/>
          </w:tcPr>
          <w:p w14:paraId="6A23FA67" w14:textId="77777777" w:rsidR="00954891" w:rsidRPr="00DA0301" w:rsidRDefault="00954891" w:rsidP="00E7128F">
            <w:pPr>
              <w:spacing w:before="0" w:after="120" w:line="276" w:lineRule="auto"/>
              <w:contextualSpacing/>
            </w:pPr>
            <w:r w:rsidRPr="00DA0301">
              <w:t>Liczba osób z krajów trzecich objętych wsparciem w programie (osoby)</w:t>
            </w:r>
          </w:p>
        </w:tc>
        <w:tc>
          <w:tcPr>
            <w:tcW w:w="9355" w:type="dxa"/>
          </w:tcPr>
          <w:p w14:paraId="014A2886" w14:textId="77777777" w:rsidR="00954891" w:rsidRPr="00DA0301" w:rsidRDefault="00954891" w:rsidP="00E7128F">
            <w:pPr>
              <w:spacing w:before="0" w:after="120" w:line="276" w:lineRule="auto"/>
            </w:pPr>
            <w:r w:rsidRPr="00DA0301">
              <w:t xml:space="preserve">Osoby, które są obywatelami krajów spoza UE. Do wskaźnika wlicza się też bezpaństwowców zgodnie z Konwencją o statusie bezpaństwowców z 1954 r. i osoby bez ustalonego obywatelstwa. </w:t>
            </w:r>
          </w:p>
          <w:p w14:paraId="15014DC3" w14:textId="77777777" w:rsidR="00954891" w:rsidRPr="00DA0301" w:rsidRDefault="00954891" w:rsidP="00E7128F">
            <w:pPr>
              <w:spacing w:before="0" w:after="120" w:line="276" w:lineRule="auto"/>
            </w:pPr>
            <w:r w:rsidRPr="00DA0301">
              <w:t xml:space="preserve">Przynależność do grupy osób z krajów trzecich określana jest w momencie rozpoczęcia udziału </w:t>
            </w:r>
            <w:r w:rsidRPr="00DA0301">
              <w:br/>
              <w:t>w projekcie, tj. w chwili rozpoczęcia udziału w pierwszej formie wsparcia w projekcie.</w:t>
            </w:r>
          </w:p>
        </w:tc>
      </w:tr>
      <w:tr w:rsidR="00954891" w:rsidRPr="00DA0301" w14:paraId="316A4920" w14:textId="77777777" w:rsidTr="00E7128F">
        <w:tc>
          <w:tcPr>
            <w:tcW w:w="486" w:type="dxa"/>
          </w:tcPr>
          <w:p w14:paraId="1914D348" w14:textId="77777777" w:rsidR="00954891" w:rsidRPr="00DA0301" w:rsidRDefault="00954891" w:rsidP="00E7128F">
            <w:pPr>
              <w:spacing w:before="0" w:after="120" w:line="276" w:lineRule="auto"/>
              <w:contextualSpacing/>
            </w:pPr>
            <w:r w:rsidRPr="00DA0301">
              <w:t>13</w:t>
            </w:r>
          </w:p>
        </w:tc>
        <w:tc>
          <w:tcPr>
            <w:tcW w:w="1215" w:type="dxa"/>
          </w:tcPr>
          <w:p w14:paraId="4EFA4227" w14:textId="77777777" w:rsidR="00954891" w:rsidRPr="00DA0301" w:rsidRDefault="00954891" w:rsidP="00E7128F">
            <w:pPr>
              <w:spacing w:before="0" w:after="120" w:line="276" w:lineRule="auto"/>
              <w:contextualSpacing/>
            </w:pPr>
            <w:r w:rsidRPr="00DA0301">
              <w:t>EECO14</w:t>
            </w:r>
          </w:p>
        </w:tc>
        <w:tc>
          <w:tcPr>
            <w:tcW w:w="2694" w:type="dxa"/>
          </w:tcPr>
          <w:p w14:paraId="71C8B991" w14:textId="77777777" w:rsidR="00954891" w:rsidRPr="00DA0301" w:rsidRDefault="00954891" w:rsidP="00E7128F">
            <w:pPr>
              <w:spacing w:before="0" w:after="120" w:line="276" w:lineRule="auto"/>
              <w:contextualSpacing/>
            </w:pPr>
            <w:r w:rsidRPr="00DA0301">
              <w:t>Liczba osób obcego pochodzenia objętych wsparciem w programie (osoby)</w:t>
            </w:r>
          </w:p>
        </w:tc>
        <w:tc>
          <w:tcPr>
            <w:tcW w:w="9355" w:type="dxa"/>
          </w:tcPr>
          <w:p w14:paraId="3C83E2FE" w14:textId="77777777" w:rsidR="00954891" w:rsidRPr="00DA0301" w:rsidRDefault="00954891" w:rsidP="00E7128F">
            <w:pPr>
              <w:spacing w:before="0" w:after="120" w:line="276" w:lineRule="auto"/>
            </w:pPr>
            <w:r w:rsidRPr="00DA0301">
              <w:t xml:space="preserve">Osoby obcego pochodzenia to cudzoziemcy - każda osoba, która nie posiada polskiego obywatelstwa, bez względu na fakt posiadania lub nie obywatelstwa (obywatelstw) innych krajów. </w:t>
            </w:r>
          </w:p>
          <w:p w14:paraId="2AA7F2BB" w14:textId="77777777" w:rsidR="00954891" w:rsidRPr="00DA0301" w:rsidRDefault="00954891" w:rsidP="00E7128F">
            <w:pPr>
              <w:spacing w:before="0" w:after="120" w:line="276" w:lineRule="auto"/>
            </w:pPr>
            <w:r w:rsidRPr="00DA0301">
              <w:t>Wskaźnik nie obejmuje osób należących do mniejszości, których udział w projektach monitorowany jest wskaźnikiem EECO15: liczba osób należących do mniejszości, w tym społeczności marginalizowanych takich jak Romowie, objętych wsparciem w programie.</w:t>
            </w:r>
          </w:p>
          <w:p w14:paraId="0817BC37" w14:textId="77777777" w:rsidR="00954891" w:rsidRPr="00DA0301" w:rsidRDefault="00954891" w:rsidP="00E7128F">
            <w:pPr>
              <w:spacing w:before="0" w:after="120" w:line="276" w:lineRule="auto"/>
            </w:pPr>
            <w:r w:rsidRPr="00DA0301">
              <w:t xml:space="preserve">Przynależność do grupy osób obcego pochodzenia określana jest w momencie rozpoczęcia udziału </w:t>
            </w:r>
            <w:r w:rsidRPr="00DA0301">
              <w:br/>
              <w:t>w projekcie, tj. w chwili rozpoczęcia udziału w pierwszej formie wsparcia w projekcie.</w:t>
            </w:r>
          </w:p>
          <w:p w14:paraId="119C3A03" w14:textId="77777777" w:rsidR="00954891" w:rsidRPr="00DA0301" w:rsidRDefault="00954891" w:rsidP="00E7128F">
            <w:pPr>
              <w:spacing w:before="0" w:after="120" w:line="276" w:lineRule="auto"/>
            </w:pPr>
            <w:r w:rsidRPr="00DA0301">
              <w:t>Informacje dodatkowe: Wskaźnik będzie obejmował zawsze osoby z krajów trzecich, zliczane we wskaźniku EECO13: liczba osób z krajów trzecich objętych wsparciem w programie.</w:t>
            </w:r>
          </w:p>
        </w:tc>
      </w:tr>
      <w:tr w:rsidR="00954891" w:rsidRPr="00DA0301" w14:paraId="7D23D84E" w14:textId="77777777" w:rsidTr="00E7128F">
        <w:tc>
          <w:tcPr>
            <w:tcW w:w="486" w:type="dxa"/>
          </w:tcPr>
          <w:p w14:paraId="558427C4" w14:textId="77777777" w:rsidR="00954891" w:rsidRPr="00DA0301" w:rsidRDefault="00954891" w:rsidP="00E7128F">
            <w:pPr>
              <w:spacing w:before="0" w:after="120" w:line="276" w:lineRule="auto"/>
              <w:contextualSpacing/>
            </w:pPr>
            <w:r w:rsidRPr="00DA0301">
              <w:t>14</w:t>
            </w:r>
          </w:p>
        </w:tc>
        <w:tc>
          <w:tcPr>
            <w:tcW w:w="1215" w:type="dxa"/>
          </w:tcPr>
          <w:p w14:paraId="49F66D8F" w14:textId="77777777" w:rsidR="00954891" w:rsidRPr="00DA0301" w:rsidRDefault="00954891" w:rsidP="00E7128F">
            <w:pPr>
              <w:spacing w:before="0" w:after="120" w:line="276" w:lineRule="auto"/>
              <w:contextualSpacing/>
            </w:pPr>
            <w:r w:rsidRPr="00DA0301">
              <w:t>EECO15</w:t>
            </w:r>
          </w:p>
        </w:tc>
        <w:tc>
          <w:tcPr>
            <w:tcW w:w="2694" w:type="dxa"/>
          </w:tcPr>
          <w:p w14:paraId="0DD5DB3F" w14:textId="77777777" w:rsidR="00954891" w:rsidRPr="00DA0301" w:rsidRDefault="00954891" w:rsidP="00E7128F">
            <w:pPr>
              <w:spacing w:before="0" w:after="120" w:line="276" w:lineRule="auto"/>
              <w:contextualSpacing/>
            </w:pPr>
            <w:r w:rsidRPr="00DA0301">
              <w:t>Liczba osób należących do mniejszości, w tym społeczności marginalizowanych takich jak Romowie, objętych wsparciem w programie (osoby)</w:t>
            </w:r>
          </w:p>
        </w:tc>
        <w:tc>
          <w:tcPr>
            <w:tcW w:w="9355" w:type="dxa"/>
          </w:tcPr>
          <w:p w14:paraId="6048C0A0" w14:textId="77777777" w:rsidR="00954891" w:rsidRPr="00DA0301" w:rsidRDefault="00954891" w:rsidP="00E7128F">
            <w:pPr>
              <w:spacing w:before="0" w:after="120" w:line="276" w:lineRule="auto"/>
            </w:pPr>
            <w:r w:rsidRPr="00DA0301">
              <w:t xml:space="preserve">Wskaźnik obejmuje osoby należące do mniejszości narodowych i etnicznych biorące udział </w:t>
            </w:r>
            <w:r w:rsidRPr="00DA0301">
              <w:br/>
              <w:t>w projektach EFS+. Zgodnie z prawem krajowym mniejszości narodowe to mniejszość: białoruska, czeska, litewska, niemiecka, ormiańska, rosyjska, słowacka, ukraińska, żydowska. Mniejszości etniczne: karaimska, łemkowska, romska, tatarska.</w:t>
            </w:r>
          </w:p>
          <w:p w14:paraId="62129191" w14:textId="77777777" w:rsidR="00954891" w:rsidRPr="00DA0301" w:rsidRDefault="00954891" w:rsidP="00E7128F">
            <w:pPr>
              <w:spacing w:before="0" w:after="120" w:line="276" w:lineRule="auto"/>
            </w:pPr>
            <w:r w:rsidRPr="00DA0301">
              <w:t>Definicja opracowana na podstawie ustawy z dnia 6 stycznia 2005 r. o mniejszościach narodowych i etnicznych oraz o języku regionalnym.</w:t>
            </w:r>
          </w:p>
          <w:p w14:paraId="7D67408A" w14:textId="77777777" w:rsidR="00954891" w:rsidRPr="00DA0301" w:rsidRDefault="00954891" w:rsidP="00E7128F">
            <w:pPr>
              <w:spacing w:before="0" w:after="120" w:line="276" w:lineRule="auto"/>
            </w:pPr>
            <w:r w:rsidRPr="00DA0301">
              <w:t>Przynależność do grupy osób należących do mniejszości określana jest w momencie rozpoczęcia udziału w projekcie, tj. w chwili rozpoczęcia udziału w pierwszej formie wsparcia w projekcie.</w:t>
            </w:r>
          </w:p>
        </w:tc>
      </w:tr>
      <w:tr w:rsidR="00954891" w:rsidRPr="00DA0301" w14:paraId="51BD705A" w14:textId="77777777" w:rsidTr="00E7128F">
        <w:tc>
          <w:tcPr>
            <w:tcW w:w="486" w:type="dxa"/>
          </w:tcPr>
          <w:p w14:paraId="632E1102" w14:textId="77777777" w:rsidR="00954891" w:rsidRPr="00DA0301" w:rsidRDefault="00954891" w:rsidP="00E7128F">
            <w:pPr>
              <w:spacing w:before="0" w:after="120" w:line="276" w:lineRule="auto"/>
              <w:contextualSpacing/>
            </w:pPr>
            <w:r w:rsidRPr="00DA0301">
              <w:t>15</w:t>
            </w:r>
          </w:p>
        </w:tc>
        <w:tc>
          <w:tcPr>
            <w:tcW w:w="1215" w:type="dxa"/>
          </w:tcPr>
          <w:p w14:paraId="794F707C" w14:textId="77777777" w:rsidR="00954891" w:rsidRPr="00DA0301" w:rsidRDefault="00954891" w:rsidP="00E7128F">
            <w:pPr>
              <w:spacing w:before="0" w:after="120" w:line="276" w:lineRule="auto"/>
              <w:contextualSpacing/>
            </w:pPr>
            <w:r w:rsidRPr="00DA0301">
              <w:t>EECO16</w:t>
            </w:r>
          </w:p>
        </w:tc>
        <w:tc>
          <w:tcPr>
            <w:tcW w:w="2694" w:type="dxa"/>
          </w:tcPr>
          <w:p w14:paraId="779B416D" w14:textId="77777777" w:rsidR="00954891" w:rsidRPr="00DA0301" w:rsidRDefault="00954891" w:rsidP="00E7128F">
            <w:pPr>
              <w:spacing w:before="0" w:after="120" w:line="276" w:lineRule="auto"/>
            </w:pPr>
            <w:r w:rsidRPr="00DA0301">
              <w:t>Liczba osób w kryzysie bezdomności lub dotkniętych wykluczeniem z dostępu do mieszkań, objętych wsparciem w programie (osoby)</w:t>
            </w:r>
          </w:p>
        </w:tc>
        <w:tc>
          <w:tcPr>
            <w:tcW w:w="9355" w:type="dxa"/>
          </w:tcPr>
          <w:p w14:paraId="1A29E085" w14:textId="77777777" w:rsidR="00954891" w:rsidRPr="00DA0301" w:rsidRDefault="00954891" w:rsidP="00E7128F">
            <w:pPr>
              <w:spacing w:before="0" w:after="120" w:line="276" w:lineRule="auto"/>
            </w:pPr>
            <w:r w:rsidRPr="00DA0301">
              <w:t>We wskaźniku wykazywane są osoby w kryzysie bezdomności lub dotknięte wykluczeniem z dostępu do mieszkań.</w:t>
            </w:r>
          </w:p>
          <w:p w14:paraId="539713C6" w14:textId="77777777" w:rsidR="00954891" w:rsidRPr="00DA0301" w:rsidRDefault="00954891" w:rsidP="00E7128F">
            <w:pPr>
              <w:spacing w:before="0" w:after="120" w:line="276" w:lineRule="auto"/>
            </w:pPr>
            <w:r w:rsidRPr="00DA0301">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65DE7B61" w14:textId="77777777" w:rsidR="00954891" w:rsidRPr="00DA0301" w:rsidRDefault="00954891" w:rsidP="00954891">
            <w:pPr>
              <w:numPr>
                <w:ilvl w:val="0"/>
                <w:numId w:val="32"/>
              </w:numPr>
              <w:spacing w:before="0" w:after="120" w:line="276" w:lineRule="auto"/>
              <w:ind w:left="462"/>
              <w:contextualSpacing/>
            </w:pPr>
            <w:r w:rsidRPr="00DA0301">
              <w:t>Bez dachu nad głową, w tym osoby żyjące w przestrzeni publicznej lub zakwaterowane interwencyjnie;</w:t>
            </w:r>
          </w:p>
          <w:p w14:paraId="23301A06" w14:textId="77777777" w:rsidR="00954891" w:rsidRPr="00DA0301" w:rsidRDefault="00954891" w:rsidP="00954891">
            <w:pPr>
              <w:numPr>
                <w:ilvl w:val="0"/>
                <w:numId w:val="32"/>
              </w:numPr>
              <w:spacing w:before="0" w:after="120" w:line="276" w:lineRule="auto"/>
              <w:ind w:left="462"/>
              <w:contextualSpacing/>
            </w:pPr>
            <w:r w:rsidRPr="00DA0301">
              <w:t xml:space="preserve">Bez mieszkania, w tym osoby zakwaterowane w placówkach dla bezdomnych, w schroniskach dla kobiet, schroniskach dla imigrantów, osoby opuszczające instytucje penitencjarne/ karne/medyczne, instytucje opiekuńcze, osoby otrzymujące długookresowe wsparcie z powodu bezdomności - specjalistyczne zakwaterowanie wspierane); </w:t>
            </w:r>
          </w:p>
          <w:p w14:paraId="07630D3C" w14:textId="77777777" w:rsidR="00954891" w:rsidRPr="00DA0301" w:rsidRDefault="00954891" w:rsidP="00954891">
            <w:pPr>
              <w:numPr>
                <w:ilvl w:val="0"/>
                <w:numId w:val="32"/>
              </w:numPr>
              <w:spacing w:before="0" w:after="120" w:line="276" w:lineRule="auto"/>
              <w:ind w:left="462"/>
              <w:contextualSpacing/>
            </w:pPr>
            <w:r w:rsidRPr="00DA0301">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7DFF5AFC" w14:textId="77777777" w:rsidR="00954891" w:rsidRPr="00DA0301" w:rsidRDefault="00954891" w:rsidP="00954891">
            <w:pPr>
              <w:numPr>
                <w:ilvl w:val="0"/>
                <w:numId w:val="32"/>
              </w:numPr>
              <w:spacing w:before="0" w:after="120" w:line="276" w:lineRule="auto"/>
              <w:ind w:left="462"/>
              <w:contextualSpacing/>
            </w:pPr>
            <w:r w:rsidRPr="00DA0301">
              <w:t xml:space="preserve">Nieodpowiednie warunki mieszkaniowe, w tym osoby zamieszkujące konstrukcje tymczasowe/nietrwałe, mieszkania </w:t>
            </w:r>
            <w:proofErr w:type="spellStart"/>
            <w:r w:rsidRPr="00DA0301">
              <w:t>substandardowe</w:t>
            </w:r>
            <w:proofErr w:type="spellEnd"/>
            <w:r w:rsidRPr="00DA0301">
              <w:t xml:space="preserve"> - lokale nienadające się do zamieszkania wg standardu krajowego, w warunkach skrajnego przeludnienia;</w:t>
            </w:r>
          </w:p>
          <w:p w14:paraId="48526B7C" w14:textId="77777777" w:rsidR="00954891" w:rsidRPr="00DA0301" w:rsidRDefault="00954891" w:rsidP="00954891">
            <w:pPr>
              <w:numPr>
                <w:ilvl w:val="0"/>
                <w:numId w:val="32"/>
              </w:numPr>
              <w:spacing w:before="0" w:after="120" w:line="276" w:lineRule="auto"/>
              <w:ind w:left="462"/>
              <w:contextualSpacing/>
            </w:pPr>
            <w:r w:rsidRPr="00DA0301">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1CF24A4B" w14:textId="77777777" w:rsidR="00954891" w:rsidRPr="00DA0301" w:rsidRDefault="00954891" w:rsidP="00E7128F">
            <w:pPr>
              <w:spacing w:before="0" w:after="120" w:line="276" w:lineRule="auto"/>
            </w:pPr>
            <w:r w:rsidRPr="00DA0301">
              <w:t>Osoby dorosłe mieszkające z rodzicami nie powinny być wykazywane we wskaźniku, chyba że wszystkie te osoby są w kryzysie bezdomności lub mieszkają w nieodpowiednich i niebezpiecznych warunkach.</w:t>
            </w:r>
          </w:p>
          <w:p w14:paraId="1618D559" w14:textId="77777777" w:rsidR="00954891" w:rsidRPr="00DA0301" w:rsidRDefault="00954891" w:rsidP="00E7128F">
            <w:pPr>
              <w:spacing w:before="0" w:after="120" w:line="276" w:lineRule="auto"/>
            </w:pPr>
            <w:r w:rsidRPr="00DA0301">
              <w:t xml:space="preserve">Przynależność do grupy osób w kryzysie bezdomności lub dotkniętych wykluczeniem z dostępu do mieszkań określana jest w momencie rozpoczęcia udziału w projekcie, tj. w chwili rozpoczęcia udziału w pierwszej formie wsparcia w projekcie. </w:t>
            </w:r>
          </w:p>
        </w:tc>
      </w:tr>
      <w:tr w:rsidR="00954891" w:rsidRPr="00DA0301" w14:paraId="792F81FD" w14:textId="77777777" w:rsidTr="00E7128F">
        <w:tc>
          <w:tcPr>
            <w:tcW w:w="486" w:type="dxa"/>
          </w:tcPr>
          <w:p w14:paraId="6B8C0F4C" w14:textId="77777777" w:rsidR="00954891" w:rsidRPr="00DA0301" w:rsidRDefault="00954891" w:rsidP="00E7128F">
            <w:pPr>
              <w:spacing w:before="0" w:after="120" w:line="276" w:lineRule="auto"/>
              <w:contextualSpacing/>
            </w:pPr>
            <w:r w:rsidRPr="00DA0301">
              <w:t>16</w:t>
            </w:r>
          </w:p>
        </w:tc>
        <w:tc>
          <w:tcPr>
            <w:tcW w:w="1215" w:type="dxa"/>
          </w:tcPr>
          <w:p w14:paraId="7733D84F" w14:textId="77777777" w:rsidR="00954891" w:rsidRPr="00DA0301" w:rsidRDefault="00954891" w:rsidP="00E7128F">
            <w:pPr>
              <w:spacing w:before="0" w:after="120" w:line="276" w:lineRule="auto"/>
              <w:contextualSpacing/>
            </w:pPr>
            <w:r w:rsidRPr="00DA0301">
              <w:t>PL0CO01</w:t>
            </w:r>
          </w:p>
        </w:tc>
        <w:tc>
          <w:tcPr>
            <w:tcW w:w="2694" w:type="dxa"/>
          </w:tcPr>
          <w:p w14:paraId="1AFE38BA" w14:textId="77777777" w:rsidR="00954891" w:rsidRPr="00DA0301" w:rsidRDefault="00954891" w:rsidP="00E7128F">
            <w:pPr>
              <w:spacing w:before="0" w:after="120" w:line="276" w:lineRule="auto"/>
              <w:contextualSpacing/>
            </w:pPr>
            <w:r w:rsidRPr="00DA0301">
              <w:t xml:space="preserve">Liczba projektów, </w:t>
            </w:r>
            <w:r w:rsidRPr="00DA0301">
              <w:br/>
              <w:t xml:space="preserve">w których sfinansowano koszty racjonalnych usprawnień dla osób </w:t>
            </w:r>
            <w:r w:rsidRPr="00DA0301">
              <w:br/>
              <w:t>z niepełnosprawnościami (sztuki)</w:t>
            </w:r>
          </w:p>
        </w:tc>
        <w:tc>
          <w:tcPr>
            <w:tcW w:w="9355" w:type="dxa"/>
          </w:tcPr>
          <w:p w14:paraId="25D2EBF2" w14:textId="77777777" w:rsidR="00954891" w:rsidRPr="00DA0301" w:rsidRDefault="00954891" w:rsidP="00E7128F">
            <w:pPr>
              <w:spacing w:before="0" w:after="120" w:line="276" w:lineRule="auto"/>
            </w:pPr>
            <w:r w:rsidRPr="00DA0301">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7B27B7B" w14:textId="77777777" w:rsidR="00954891" w:rsidRPr="00DA0301" w:rsidRDefault="00954891" w:rsidP="00E7128F">
            <w:pPr>
              <w:spacing w:before="0" w:after="120" w:line="276" w:lineRule="auto"/>
            </w:pPr>
            <w:r w:rsidRPr="00DA0301">
              <w:t>Wskaźnik mierzony w momencie rozliczenia wydatku związanego z racjonalnymi usprawnieniami w ramach danego projektu.</w:t>
            </w:r>
          </w:p>
          <w:p w14:paraId="0537EBFD" w14:textId="77777777" w:rsidR="00954891" w:rsidRPr="00DA0301" w:rsidRDefault="00954891" w:rsidP="00E7128F">
            <w:pPr>
              <w:spacing w:before="0" w:after="120" w:line="276" w:lineRule="auto"/>
            </w:pPr>
            <w:r w:rsidRPr="00DA0301">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4D64F544" w14:textId="77777777" w:rsidR="00954891" w:rsidRPr="00DA0301" w:rsidRDefault="00954891" w:rsidP="00E7128F">
            <w:pPr>
              <w:spacing w:before="0" w:after="120" w:line="276" w:lineRule="auto"/>
            </w:pPr>
            <w:r w:rsidRPr="00DA0301">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35221FEC" w14:textId="77777777" w:rsidR="00954891" w:rsidRPr="00DA0301" w:rsidRDefault="00954891" w:rsidP="00E7128F">
            <w:pPr>
              <w:spacing w:before="0" w:after="120" w:line="276" w:lineRule="auto"/>
            </w:pPr>
            <w:r w:rsidRPr="00DA0301">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r w:rsidRPr="00DA0301">
              <w:br/>
              <w:t>Definicja na podstawie: Wytyczne w zakresie realizacji zasad równościowych w ramach funduszy unijnych na lata 2021-2027.</w:t>
            </w:r>
          </w:p>
        </w:tc>
      </w:tr>
      <w:tr w:rsidR="00954891" w:rsidRPr="00DA0301" w14:paraId="04A41072" w14:textId="77777777" w:rsidTr="00E7128F">
        <w:tc>
          <w:tcPr>
            <w:tcW w:w="486" w:type="dxa"/>
          </w:tcPr>
          <w:p w14:paraId="2E9ABE46" w14:textId="77777777" w:rsidR="00954891" w:rsidRPr="00DA0301" w:rsidRDefault="00954891" w:rsidP="00E7128F">
            <w:pPr>
              <w:spacing w:before="0" w:after="120" w:line="276" w:lineRule="auto"/>
              <w:contextualSpacing/>
            </w:pPr>
            <w:r w:rsidRPr="00DA0301">
              <w:t>17</w:t>
            </w:r>
          </w:p>
        </w:tc>
        <w:tc>
          <w:tcPr>
            <w:tcW w:w="1215" w:type="dxa"/>
          </w:tcPr>
          <w:p w14:paraId="0182448C" w14:textId="77777777" w:rsidR="00954891" w:rsidRPr="00DA0301" w:rsidRDefault="00954891" w:rsidP="00E7128F">
            <w:pPr>
              <w:spacing w:before="0" w:after="120" w:line="276" w:lineRule="auto"/>
              <w:contextualSpacing/>
            </w:pPr>
            <w:r w:rsidRPr="00DA0301">
              <w:t>PL0CO02</w:t>
            </w:r>
          </w:p>
        </w:tc>
        <w:tc>
          <w:tcPr>
            <w:tcW w:w="2694" w:type="dxa"/>
          </w:tcPr>
          <w:p w14:paraId="7D8C5C6A" w14:textId="77777777" w:rsidR="00954891" w:rsidRPr="00DA0301" w:rsidRDefault="00954891" w:rsidP="00E7128F">
            <w:pPr>
              <w:spacing w:before="0" w:after="120" w:line="276" w:lineRule="auto"/>
              <w:contextualSpacing/>
            </w:pPr>
            <w:r w:rsidRPr="00DA0301">
              <w:t xml:space="preserve">Liczba obiektów dostosowanych do </w:t>
            </w:r>
            <w:r w:rsidRPr="00DA0301">
              <w:br/>
              <w:t xml:space="preserve">potrzeb osób </w:t>
            </w:r>
            <w:r w:rsidRPr="00DA0301">
              <w:br/>
              <w:t>z niepełnosprawnościami (sztuki)</w:t>
            </w:r>
          </w:p>
        </w:tc>
        <w:tc>
          <w:tcPr>
            <w:tcW w:w="9355" w:type="dxa"/>
          </w:tcPr>
          <w:p w14:paraId="0CC23923" w14:textId="77777777" w:rsidR="00954891" w:rsidRPr="00DA0301" w:rsidRDefault="00954891" w:rsidP="00E7128F">
            <w:pPr>
              <w:spacing w:before="0" w:after="120" w:line="276" w:lineRule="auto"/>
            </w:pPr>
            <w:r w:rsidRPr="00DA0301">
              <w:t xml:space="preserve">Wskaźnik odnosi się do liczby obiektów w ramach realizowanego projektu, które zaopatrzono </w:t>
            </w:r>
            <w:r w:rsidRPr="00DA0301">
              <w:br/>
              <w:t>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12169EA7" w14:textId="77777777" w:rsidR="00954891" w:rsidRPr="00DA0301" w:rsidRDefault="00954891" w:rsidP="00E7128F">
            <w:pPr>
              <w:spacing w:before="0" w:after="120" w:line="276" w:lineRule="auto"/>
            </w:pPr>
            <w:r w:rsidRPr="00DA0301">
              <w:t>Jako obiekty należy rozumieć konstrukcje połączone z gruntem w sposób trwały, wykonane z materiałów budowlanych i elementów składowych, będące wynikiem prac budowlanych (wg. def. PKOB).</w:t>
            </w:r>
          </w:p>
          <w:p w14:paraId="08D12338" w14:textId="77777777" w:rsidR="00954891" w:rsidRPr="00DA0301" w:rsidRDefault="00954891" w:rsidP="00E7128F">
            <w:pPr>
              <w:spacing w:before="0" w:after="120" w:line="276" w:lineRule="auto"/>
            </w:pPr>
            <w:r w:rsidRPr="00DA0301">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5A40D7CF" w14:textId="77777777" w:rsidR="00954891" w:rsidRPr="00DA0301" w:rsidRDefault="00954891" w:rsidP="00E7128F">
            <w:pPr>
              <w:spacing w:before="0" w:after="120" w:line="276" w:lineRule="auto"/>
            </w:pPr>
            <w:r w:rsidRPr="00DA0301">
              <w:t xml:space="preserve">Wskaźnik mierzony w momencie rozliczenia wydatku związanego z wyposażeniem obiektów </w:t>
            </w:r>
            <w:r w:rsidRPr="00DA0301">
              <w:br/>
              <w:t>w rozwiązania służące osobom z niepełnosprawnościami w ramach danego projektu.</w:t>
            </w:r>
          </w:p>
        </w:tc>
      </w:tr>
    </w:tbl>
    <w:p w14:paraId="02D761FC" w14:textId="77777777" w:rsidR="00622E9C" w:rsidRDefault="00622E9C">
      <w:r>
        <w:br w:type="page"/>
      </w:r>
    </w:p>
    <w:p w14:paraId="6087EC90" w14:textId="12A51B48" w:rsidR="00E122C6" w:rsidRPr="00FA4BDA" w:rsidRDefault="00262E9A" w:rsidP="009E064E">
      <w:pPr>
        <w:pStyle w:val="Akapitzlist"/>
        <w:numPr>
          <w:ilvl w:val="0"/>
          <w:numId w:val="28"/>
        </w:numPr>
        <w:spacing w:before="240" w:after="240"/>
        <w:ind w:left="284" w:hanging="284"/>
        <w:contextualSpacing w:val="0"/>
        <w:rPr>
          <w:b/>
          <w:bCs/>
        </w:rPr>
      </w:pPr>
      <w:r w:rsidRPr="00FA4BDA">
        <w:rPr>
          <w:b/>
          <w:bCs/>
        </w:rPr>
        <w:t xml:space="preserve">wskaźniki </w:t>
      </w:r>
      <w:r w:rsidR="00BC169B" w:rsidRPr="00FA4BDA">
        <w:rPr>
          <w:b/>
          <w:bCs/>
        </w:rPr>
        <w:t>rezultatu</w:t>
      </w:r>
    </w:p>
    <w:tbl>
      <w:tblPr>
        <w:tblStyle w:val="Tabela-Siatka"/>
        <w:tblW w:w="13750" w:type="dxa"/>
        <w:tblInd w:w="-5" w:type="dxa"/>
        <w:tblLook w:val="04A0" w:firstRow="1" w:lastRow="0" w:firstColumn="1" w:lastColumn="0" w:noHBand="0" w:noVBand="1"/>
      </w:tblPr>
      <w:tblGrid>
        <w:gridCol w:w="487"/>
        <w:gridCol w:w="1214"/>
        <w:gridCol w:w="2694"/>
        <w:gridCol w:w="9355"/>
      </w:tblGrid>
      <w:tr w:rsidR="00954891" w:rsidRPr="00BC169B" w14:paraId="5F4AECD6" w14:textId="77777777" w:rsidTr="00E7128F">
        <w:trPr>
          <w:tblHeader/>
        </w:trPr>
        <w:tc>
          <w:tcPr>
            <w:tcW w:w="487" w:type="dxa"/>
            <w:vAlign w:val="center"/>
          </w:tcPr>
          <w:p w14:paraId="2AFF7B9C" w14:textId="77777777" w:rsidR="00954891" w:rsidRPr="00BC169B" w:rsidRDefault="00954891" w:rsidP="00E7128F">
            <w:pPr>
              <w:pStyle w:val="Akapitzlist"/>
              <w:spacing w:before="0" w:after="120" w:line="276" w:lineRule="auto"/>
              <w:ind w:left="0"/>
              <w:contextualSpacing w:val="0"/>
              <w:rPr>
                <w:b/>
              </w:rPr>
            </w:pPr>
            <w:bookmarkStart w:id="34" w:name="_Toc141428631"/>
            <w:r>
              <w:rPr>
                <w:b/>
              </w:rPr>
              <w:t>Lp.</w:t>
            </w:r>
          </w:p>
        </w:tc>
        <w:tc>
          <w:tcPr>
            <w:tcW w:w="1214" w:type="dxa"/>
            <w:vAlign w:val="center"/>
          </w:tcPr>
          <w:p w14:paraId="2635DB5A" w14:textId="77777777" w:rsidR="00954891" w:rsidRPr="00BC169B" w:rsidRDefault="00954891" w:rsidP="00E7128F">
            <w:pPr>
              <w:pStyle w:val="Akapitzlist"/>
              <w:spacing w:before="0" w:after="120" w:line="276" w:lineRule="auto"/>
              <w:ind w:left="0"/>
              <w:contextualSpacing w:val="0"/>
              <w:rPr>
                <w:b/>
              </w:rPr>
            </w:pPr>
            <w:r w:rsidRPr="00BC169B">
              <w:rPr>
                <w:b/>
              </w:rPr>
              <w:t>Kod wskaźnika</w:t>
            </w:r>
          </w:p>
        </w:tc>
        <w:tc>
          <w:tcPr>
            <w:tcW w:w="2694" w:type="dxa"/>
            <w:vAlign w:val="center"/>
          </w:tcPr>
          <w:p w14:paraId="7B2CD0B3" w14:textId="77777777" w:rsidR="00954891" w:rsidRPr="00BC169B" w:rsidRDefault="00954891" w:rsidP="00E7128F">
            <w:pPr>
              <w:pStyle w:val="Akapitzlist"/>
              <w:spacing w:before="0" w:after="120" w:line="276" w:lineRule="auto"/>
              <w:ind w:left="0"/>
              <w:contextualSpacing w:val="0"/>
              <w:rPr>
                <w:b/>
              </w:rPr>
            </w:pPr>
            <w:r w:rsidRPr="00BC169B">
              <w:rPr>
                <w:b/>
              </w:rPr>
              <w:t xml:space="preserve">Nazwa wskaźnika </w:t>
            </w:r>
            <w:r>
              <w:rPr>
                <w:b/>
              </w:rPr>
              <w:br/>
            </w:r>
            <w:r w:rsidRPr="00BC169B">
              <w:rPr>
                <w:b/>
              </w:rPr>
              <w:t>(jednostka miary)</w:t>
            </w:r>
          </w:p>
        </w:tc>
        <w:tc>
          <w:tcPr>
            <w:tcW w:w="9355" w:type="dxa"/>
            <w:vAlign w:val="center"/>
          </w:tcPr>
          <w:p w14:paraId="014F6E66" w14:textId="77777777" w:rsidR="00954891" w:rsidRPr="00BC169B" w:rsidRDefault="00954891" w:rsidP="00E7128F">
            <w:pPr>
              <w:pStyle w:val="Akapitzlist"/>
              <w:spacing w:before="0" w:after="120" w:line="276" w:lineRule="auto"/>
              <w:ind w:left="0"/>
              <w:contextualSpacing w:val="0"/>
              <w:rPr>
                <w:b/>
              </w:rPr>
            </w:pPr>
            <w:r w:rsidRPr="00BC169B">
              <w:rPr>
                <w:b/>
              </w:rPr>
              <w:t>Definicja operacyjna/kontekst prawny</w:t>
            </w:r>
          </w:p>
        </w:tc>
      </w:tr>
      <w:tr w:rsidR="00954891" w:rsidRPr="00454206" w14:paraId="0E4A266A" w14:textId="77777777" w:rsidTr="00E7128F">
        <w:tc>
          <w:tcPr>
            <w:tcW w:w="487" w:type="dxa"/>
          </w:tcPr>
          <w:p w14:paraId="586CA6E8" w14:textId="77777777" w:rsidR="00954891" w:rsidRPr="00C84783" w:rsidRDefault="00954891" w:rsidP="00E7128F">
            <w:pPr>
              <w:pStyle w:val="Akapitzlist"/>
              <w:spacing w:before="0" w:after="120" w:line="276" w:lineRule="auto"/>
              <w:ind w:left="0"/>
              <w:contextualSpacing w:val="0"/>
            </w:pPr>
            <w:r w:rsidRPr="00C84783">
              <w:t>1</w:t>
            </w:r>
          </w:p>
        </w:tc>
        <w:tc>
          <w:tcPr>
            <w:tcW w:w="1214" w:type="dxa"/>
          </w:tcPr>
          <w:p w14:paraId="5B4BFD6D" w14:textId="77777777" w:rsidR="00954891" w:rsidRPr="00C84783" w:rsidRDefault="00954891" w:rsidP="00E7128F">
            <w:pPr>
              <w:pStyle w:val="Akapitzlist"/>
              <w:spacing w:before="0" w:after="120" w:line="276" w:lineRule="auto"/>
              <w:ind w:left="0"/>
              <w:contextualSpacing w:val="0"/>
            </w:pPr>
            <w:r>
              <w:t>PLFCR02</w:t>
            </w:r>
          </w:p>
        </w:tc>
        <w:tc>
          <w:tcPr>
            <w:tcW w:w="2694" w:type="dxa"/>
          </w:tcPr>
          <w:p w14:paraId="0D463510" w14:textId="77777777" w:rsidR="00954891" w:rsidRPr="00C84783" w:rsidRDefault="00954891" w:rsidP="00E7128F">
            <w:pPr>
              <w:pStyle w:val="Akapitzlist"/>
              <w:spacing w:before="0" w:after="120" w:line="276" w:lineRule="auto"/>
              <w:ind w:left="0"/>
              <w:contextualSpacing w:val="0"/>
            </w:pPr>
            <w:r w:rsidRPr="00F52162">
              <w:t xml:space="preserve">Liczba przedstawicieli kadry szkół i placówek systemu oświaty, którzy uzyskali kwalifikacje po opuszczeniu programu </w:t>
            </w:r>
            <w:r>
              <w:br/>
            </w:r>
            <w:r w:rsidRPr="0098329E">
              <w:t>(osoby)</w:t>
            </w:r>
          </w:p>
        </w:tc>
        <w:tc>
          <w:tcPr>
            <w:tcW w:w="9355" w:type="dxa"/>
            <w:vAlign w:val="center"/>
          </w:tcPr>
          <w:p w14:paraId="596E60F5" w14:textId="77777777" w:rsidR="00954891" w:rsidRDefault="00954891" w:rsidP="00E7128F">
            <w:pPr>
              <w:spacing w:before="0" w:after="120" w:line="276" w:lineRule="auto"/>
            </w:pPr>
            <w:r w:rsidRPr="00454206">
              <w:t>Przedstawiciele kadry szkół i placówek systemu oświaty rozumiani są zgodnie z definicją wskaźnika PLFCO06: liczba przedstawicieli kadry szkół i placówek systemu oświaty objętych wsparciem (osoby).</w:t>
            </w:r>
          </w:p>
          <w:p w14:paraId="7A8A6F0B" w14:textId="77777777" w:rsidR="00954891" w:rsidRDefault="00954891" w:rsidP="00E7128F">
            <w:pPr>
              <w:spacing w:before="0" w:after="120" w:line="276" w:lineRule="auto"/>
            </w:pPr>
            <w:r>
              <w:t xml:space="preserve">Do wskaźnika wlicza się osoby, które otrzymały wsparcie EFS+ i uzyskały kwalifikacje lub kompetencje po opuszczeniu projektu. </w:t>
            </w:r>
          </w:p>
          <w:p w14:paraId="2BD2E33F" w14:textId="77777777" w:rsidR="00954891" w:rsidRDefault="00954891" w:rsidP="00E7128F">
            <w:pPr>
              <w:spacing w:before="0" w:after="120" w:line="276" w:lineRule="auto"/>
            </w:pPr>
            <w:r>
              <w:t>Kwalifikacje to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14:paraId="5464B13E" w14:textId="77777777" w:rsidR="00954891" w:rsidRDefault="00954891" w:rsidP="00E7128F">
            <w:pPr>
              <w:spacing w:before="0" w:after="120" w:line="276" w:lineRule="auto"/>
            </w:pPr>
            <w:r>
              <w:t xml:space="preserve">Kwalifikacje mogą być nadawane przez: </w:t>
            </w:r>
          </w:p>
          <w:p w14:paraId="35F06AB2" w14:textId="77777777" w:rsidR="00954891" w:rsidRDefault="00954891" w:rsidP="00954891">
            <w:pPr>
              <w:pStyle w:val="Akapitzlist"/>
              <w:numPr>
                <w:ilvl w:val="0"/>
                <w:numId w:val="45"/>
              </w:numPr>
              <w:spacing w:before="0" w:after="120" w:line="276" w:lineRule="auto"/>
              <w:ind w:left="462"/>
              <w:contextualSpacing w:val="0"/>
            </w:pPr>
            <w:r>
              <w:t xml:space="preserve">podmioty uprawnione do realizacji procesów walidacji i certyfikowania zgodnie z ustawą </w:t>
            </w:r>
            <w:r>
              <w:br/>
              <w:t>z dnia 22 grudnia 2015 r. o Zintegrowanym Systemie Kwalifikacji,</w:t>
            </w:r>
          </w:p>
          <w:p w14:paraId="6339F9F7" w14:textId="77777777" w:rsidR="00954891" w:rsidRDefault="00954891" w:rsidP="00954891">
            <w:pPr>
              <w:pStyle w:val="Akapitzlist"/>
              <w:numPr>
                <w:ilvl w:val="0"/>
                <w:numId w:val="45"/>
              </w:numPr>
              <w:spacing w:before="0" w:after="120" w:line="276" w:lineRule="auto"/>
              <w:ind w:left="462"/>
              <w:contextualSpacing w:val="0"/>
            </w:pPr>
            <w:r>
              <w:t>podmioty uprawnione do realizacji procesów walidacji i certyfikowania na mocy innych przepisów prawa,</w:t>
            </w:r>
          </w:p>
          <w:p w14:paraId="423767A0" w14:textId="77777777" w:rsidR="00954891" w:rsidRDefault="00954891" w:rsidP="00954891">
            <w:pPr>
              <w:pStyle w:val="Akapitzlist"/>
              <w:numPr>
                <w:ilvl w:val="0"/>
                <w:numId w:val="45"/>
              </w:numPr>
              <w:spacing w:before="0" w:after="120" w:line="276" w:lineRule="auto"/>
              <w:ind w:left="462"/>
              <w:contextualSpacing w:val="0"/>
            </w:pPr>
            <w:r>
              <w:t xml:space="preserve">podmioty uprawnione do wydawania dokumentów potwierdzających uzyskanie kwalifikacji, </w:t>
            </w:r>
            <w:r>
              <w:br/>
              <w:t>w tym w zawodzie,</w:t>
            </w:r>
          </w:p>
          <w:p w14:paraId="628F385E" w14:textId="77777777" w:rsidR="00954891" w:rsidRDefault="00954891" w:rsidP="00954891">
            <w:pPr>
              <w:pStyle w:val="Akapitzlist"/>
              <w:numPr>
                <w:ilvl w:val="0"/>
                <w:numId w:val="45"/>
              </w:numPr>
              <w:spacing w:before="0" w:after="120" w:line="276" w:lineRule="auto"/>
              <w:ind w:left="462"/>
              <w:contextualSpacing w:val="0"/>
            </w:pPr>
            <w:r>
              <w:t>organy władz publicznych lub samorządów zawodowych, uprawnione do wydawania dokumentów potwierdzających kwalifikację na podstawie ustawy lub rozporządzenia.</w:t>
            </w:r>
          </w:p>
          <w:p w14:paraId="2B7266C9" w14:textId="77777777" w:rsidR="00954891" w:rsidRDefault="00954891" w:rsidP="00E7128F">
            <w:pPr>
              <w:spacing w:before="0" w:after="120" w:line="276" w:lineRule="auto"/>
            </w:pPr>
            <w: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5EDDF16D" w14:textId="77777777" w:rsidR="00954891" w:rsidRDefault="00954891" w:rsidP="00E7128F">
            <w:pPr>
              <w:spacing w:before="0" w:after="120" w:line="276" w:lineRule="auto"/>
            </w:pPr>
            <w:r>
              <w:t xml:space="preserve">Do wskaźnika wliczane są również osoby, które w wyniku realizacji projektu nabyły kompetencje, </w:t>
            </w:r>
            <w:r>
              <w:br/>
              <w:t xml:space="preserve">tj. wyodrębnione zestawy efektów uczenia się / kształcenia, które zostały sprawdzone w procesie walidacji w sposób zgodny z wymaganiami ustalonymi dla danej kompetencji, odnoszącymi się </w:t>
            </w:r>
            <w:r>
              <w:br/>
              <w:t xml:space="preserve">w szczególności do składających się na nią efektów uczenia się. </w:t>
            </w:r>
          </w:p>
          <w:p w14:paraId="0383DC96" w14:textId="77777777" w:rsidR="00954891" w:rsidRDefault="00954891" w:rsidP="00E7128F">
            <w:pPr>
              <w:pStyle w:val="Akapitzlist"/>
              <w:spacing w:before="0" w:after="120" w:line="276" w:lineRule="auto"/>
              <w:ind w:left="36"/>
              <w:contextualSpacing w:val="0"/>
            </w:pPr>
            <w:r>
              <w:t xml:space="preserve">Fakt nabycia kompetencji jest weryfikowany w ramach następujących etapów: </w:t>
            </w:r>
          </w:p>
          <w:p w14:paraId="74B20EE0" w14:textId="77777777" w:rsidR="00954891" w:rsidRDefault="00954891" w:rsidP="00954891">
            <w:pPr>
              <w:pStyle w:val="Akapitzlist"/>
              <w:numPr>
                <w:ilvl w:val="0"/>
                <w:numId w:val="46"/>
              </w:numPr>
              <w:spacing w:before="0" w:after="120" w:line="276" w:lineRule="auto"/>
              <w:ind w:left="462"/>
              <w:contextualSpacing w:val="0"/>
            </w:pPr>
            <w:r>
              <w:t>ETAP I – Zakres – zdefiniowanie w ramach wniosku o dofinansowanie (w przypadku projektów) lub usługi (w przypadku Podmiotowego Systemu Finansowania) grupy docelowej do objęcia wsparciem oraz zakresu tematycznego wsparcia, który będzie poddany ocenie,</w:t>
            </w:r>
          </w:p>
          <w:p w14:paraId="6DF1A3E7" w14:textId="77777777" w:rsidR="00954891" w:rsidRDefault="00954891" w:rsidP="00954891">
            <w:pPr>
              <w:pStyle w:val="Akapitzlist"/>
              <w:numPr>
                <w:ilvl w:val="0"/>
                <w:numId w:val="46"/>
              </w:numPr>
              <w:spacing w:before="0" w:after="120" w:line="276" w:lineRule="auto"/>
              <w:ind w:left="462"/>
              <w:contextualSpacing w:val="0"/>
            </w:pPr>
            <w:r>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6A29D0EC" w14:textId="77777777" w:rsidR="00954891" w:rsidRDefault="00954891" w:rsidP="00954891">
            <w:pPr>
              <w:pStyle w:val="Akapitzlist"/>
              <w:numPr>
                <w:ilvl w:val="0"/>
                <w:numId w:val="46"/>
              </w:numPr>
              <w:spacing w:before="0" w:after="120" w:line="276" w:lineRule="auto"/>
              <w:ind w:left="462"/>
              <w:contextualSpacing w:val="0"/>
            </w:pPr>
            <w:r>
              <w:t>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w:t>
            </w:r>
          </w:p>
          <w:p w14:paraId="6140DF40" w14:textId="77777777" w:rsidR="00954891" w:rsidRDefault="00954891" w:rsidP="00954891">
            <w:pPr>
              <w:pStyle w:val="Akapitzlist"/>
              <w:numPr>
                <w:ilvl w:val="0"/>
                <w:numId w:val="46"/>
              </w:numPr>
              <w:spacing w:before="0" w:after="120" w:line="276" w:lineRule="auto"/>
              <w:ind w:left="462"/>
              <w:contextualSpacing w:val="0"/>
            </w:pPr>
            <w:r>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10C17B36" w14:textId="77777777" w:rsidR="00954891" w:rsidRDefault="00954891" w:rsidP="00E7128F">
            <w:pPr>
              <w:spacing w:before="0" w:after="120" w:line="276" w:lineRule="auto"/>
            </w:pPr>
            <w:r>
              <w:t xml:space="preserve">Przez efekty uczenia się należy rozumieć wiedzę, umiejętności oraz kompetencje społeczne nabyte w edukacji formalnej, edukacji pozaformalnej lub poprzez uczenie się nieformalne, zgodne z ustalonymi dla danej kwalifikacji lub kompetencji wymaganiami. </w:t>
            </w:r>
          </w:p>
          <w:p w14:paraId="69A07BBD" w14:textId="77777777" w:rsidR="00954891" w:rsidRDefault="00954891" w:rsidP="00E7128F">
            <w:pPr>
              <w:spacing w:before="0" w:after="120" w:line="276" w:lineRule="auto"/>
            </w:pPr>
            <w:r>
              <w:t xml:space="preserve">Wykazywać należy wyłącznie kwalifikacje lub kompetencje osiągnięte w wyniku udziału w projekcie EFS+. Powinny one być wykazywane tylko raz dla uczestnika/projektu. </w:t>
            </w:r>
          </w:p>
          <w:p w14:paraId="4CB7F98C" w14:textId="77777777" w:rsidR="00954891" w:rsidRDefault="00954891" w:rsidP="00E7128F">
            <w:pPr>
              <w:pStyle w:val="Akapitzlist"/>
              <w:spacing w:before="0" w:after="120" w:line="276" w:lineRule="auto"/>
              <w:ind w:left="36"/>
              <w:contextualSpacing w:val="0"/>
            </w:pPr>
            <w:r>
              <w:t>Do wskaźnika należy wliczać jedynie osoby, które uzyskały kwalifikacje /kompetencje w trakcie lub bezpośrednio po zakończeniu udziału w projekcie, tj. w ciągu czterech tygodni, które minęły od momentu zakończenia udziału w projekcie.</w:t>
            </w:r>
          </w:p>
          <w:p w14:paraId="48ED3B50" w14:textId="77777777" w:rsidR="00954891" w:rsidRDefault="00954891" w:rsidP="00E7128F">
            <w:pPr>
              <w:pStyle w:val="Akapitzlist"/>
              <w:spacing w:before="0" w:after="120" w:line="276" w:lineRule="auto"/>
              <w:ind w:left="34"/>
              <w:contextualSpacing w:val="0"/>
            </w:pPr>
            <w: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50094287" w14:textId="77777777" w:rsidR="00954891" w:rsidRPr="00454206" w:rsidRDefault="00954891" w:rsidP="00E7128F">
            <w:pPr>
              <w:pStyle w:val="Akapitzlist"/>
              <w:spacing w:before="0" w:after="120" w:line="276" w:lineRule="auto"/>
              <w:ind w:left="34"/>
              <w:contextualSpacing w:val="0"/>
            </w:pPr>
            <w:r>
              <w:t>Dodatkowe informacje na temat monitorowania uzyskiwania kwalifikacji i kompetencji w ramach projektów współfinansowanych z EFS+ zawarte są w załączniku nr 3 do niniejszych zasad.</w:t>
            </w:r>
          </w:p>
        </w:tc>
      </w:tr>
    </w:tbl>
    <w:p w14:paraId="0201090A" w14:textId="7CC481B2" w:rsidR="00306DDC" w:rsidRDefault="00306DDC" w:rsidP="00306DDC"/>
    <w:p w14:paraId="19B08B4C" w14:textId="77777777" w:rsidR="00994D30" w:rsidRPr="00306DDC" w:rsidRDefault="00994D30" w:rsidP="00306DDC">
      <w:pPr>
        <w:sectPr w:rsidR="00994D30" w:rsidRPr="00306DDC" w:rsidSect="00A72F6E">
          <w:pgSz w:w="15840" w:h="12240" w:orient="landscape"/>
          <w:pgMar w:top="1418" w:right="1701" w:bottom="1327" w:left="1418" w:header="720" w:footer="720" w:gutter="0"/>
          <w:cols w:space="720"/>
          <w:titlePg/>
          <w:docGrid w:linePitch="299"/>
        </w:sectPr>
      </w:pPr>
    </w:p>
    <w:p w14:paraId="69F1016D" w14:textId="60CE75AC" w:rsidR="00DB6E93" w:rsidRPr="000B0EC7" w:rsidRDefault="005816F0" w:rsidP="000B0EC7">
      <w:pPr>
        <w:pStyle w:val="Nagwek3"/>
      </w:pPr>
      <w:r w:rsidRPr="000B0EC7">
        <w:t>Z</w:t>
      </w:r>
      <w:r w:rsidR="00D776F2" w:rsidRPr="000B0EC7">
        <w:t xml:space="preserve">ałącznik nr </w:t>
      </w:r>
      <w:bookmarkEnd w:id="32"/>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34"/>
    </w:p>
    <w:p w14:paraId="5DD09474" w14:textId="77777777" w:rsidR="00736FB3" w:rsidRPr="004B59C7" w:rsidRDefault="00736FB3" w:rsidP="007E7F0D">
      <w:pPr>
        <w:pStyle w:val="Legenda"/>
        <w:keepNext/>
        <w:numPr>
          <w:ilvl w:val="0"/>
          <w:numId w:val="13"/>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6"/>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7"/>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9E064E">
      <w:pPr>
        <w:pStyle w:val="Legenda"/>
        <w:keepNext/>
        <w:numPr>
          <w:ilvl w:val="0"/>
          <w:numId w:val="13"/>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94D30">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1803B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427"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AB34B5" w:rsidRPr="001803B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1803B2" w:rsidRDefault="00AB34B5"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AB34B5" w:rsidRPr="001803B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1803B2" w:rsidRDefault="00AB34B5" w:rsidP="006245F4">
            <w:pPr>
              <w:autoSpaceDE w:val="0"/>
              <w:autoSpaceDN w:val="0"/>
              <w:adjustRightInd w:val="0"/>
              <w:spacing w:line="276" w:lineRule="auto"/>
              <w:rPr>
                <w:rFonts w:cstheme="minorHAnsi"/>
              </w:rPr>
            </w:pPr>
          </w:p>
        </w:tc>
      </w:tr>
      <w:tr w:rsidR="00AB34B5" w:rsidRPr="001803B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1803B2" w:rsidRDefault="00AB34B5" w:rsidP="006245F4">
            <w:pPr>
              <w:spacing w:line="276" w:lineRule="auto"/>
              <w:rPr>
                <w:rFonts w:cstheme="minorHAnsi"/>
              </w:rPr>
            </w:pPr>
          </w:p>
        </w:tc>
      </w:tr>
      <w:tr w:rsidR="00AB34B5" w:rsidRPr="001803B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1803B2" w:rsidRDefault="00AB34B5" w:rsidP="006245F4">
            <w:pPr>
              <w:spacing w:line="276" w:lineRule="auto"/>
              <w:rPr>
                <w:rFonts w:cstheme="minorHAnsi"/>
              </w:rPr>
            </w:pPr>
          </w:p>
        </w:tc>
      </w:tr>
      <w:tr w:rsidR="00AB34B5" w:rsidRPr="001803B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1803B2" w:rsidRDefault="00AB34B5"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AB34B5" w:rsidRPr="001803B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1803B2" w:rsidRDefault="00AB34B5" w:rsidP="006245F4">
            <w:pPr>
              <w:spacing w:line="276" w:lineRule="auto"/>
              <w:rPr>
                <w:rFonts w:cstheme="minorHAnsi"/>
              </w:rPr>
            </w:pPr>
          </w:p>
        </w:tc>
      </w:tr>
      <w:tr w:rsidR="00AB34B5" w:rsidRPr="001803B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1803B2" w:rsidRDefault="00AB34B5" w:rsidP="006245F4">
            <w:pPr>
              <w:spacing w:line="276" w:lineRule="auto"/>
              <w:rPr>
                <w:rFonts w:cstheme="minorHAnsi"/>
              </w:rPr>
            </w:pPr>
          </w:p>
        </w:tc>
      </w:tr>
      <w:tr w:rsidR="00AB34B5" w:rsidRPr="001803B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1803B2" w:rsidRDefault="00AB34B5" w:rsidP="006245F4">
            <w:pPr>
              <w:spacing w:line="276" w:lineRule="auto"/>
              <w:rPr>
                <w:rFonts w:cstheme="minorHAnsi"/>
              </w:rPr>
            </w:pPr>
            <w:r w:rsidRPr="00DB6710">
              <w:rPr>
                <w:rFonts w:cstheme="minorHAnsi"/>
              </w:rPr>
              <w:t>Wszyscy uczestnicy projektów w celach szczegółowych a)-k)</w:t>
            </w:r>
          </w:p>
        </w:tc>
      </w:tr>
      <w:tr w:rsidR="00AB34B5" w:rsidRPr="001803B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1803B2" w:rsidRDefault="00AB34B5" w:rsidP="006245F4">
            <w:pPr>
              <w:spacing w:line="276" w:lineRule="auto"/>
              <w:rPr>
                <w:rFonts w:cstheme="minorHAnsi"/>
              </w:rPr>
            </w:pPr>
          </w:p>
        </w:tc>
      </w:tr>
      <w:tr w:rsidR="00AB34B5" w:rsidRPr="001803B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1803B2" w:rsidRDefault="00AB34B5" w:rsidP="006245F4">
            <w:pPr>
              <w:spacing w:line="276" w:lineRule="auto"/>
              <w:rPr>
                <w:rFonts w:cstheme="minorHAnsi"/>
              </w:rPr>
            </w:pPr>
          </w:p>
        </w:tc>
      </w:tr>
      <w:tr w:rsidR="00AB34B5" w:rsidRPr="001803B2" w14:paraId="287AE5FA" w14:textId="77777777" w:rsidTr="00AB34B5">
        <w:trPr>
          <w:trHeight w:val="520"/>
        </w:trPr>
        <w:tc>
          <w:tcPr>
            <w:tcW w:w="1686" w:type="dxa"/>
            <w:tcBorders>
              <w:top w:val="single" w:sz="6" w:space="0" w:color="auto"/>
              <w:left w:val="single" w:sz="6" w:space="0" w:color="auto"/>
              <w:bottom w:val="nil"/>
              <w:right w:val="single" w:sz="6" w:space="0" w:color="auto"/>
            </w:tcBorders>
          </w:tcPr>
          <w:p w14:paraId="0EB62001" w14:textId="77777777" w:rsidR="00AB34B5" w:rsidRPr="001803B2" w:rsidRDefault="00AB34B5" w:rsidP="00DB6710">
            <w:pPr>
              <w:autoSpaceDE w:val="0"/>
              <w:autoSpaceDN w:val="0"/>
              <w:adjustRightInd w:val="0"/>
              <w:spacing w:line="276" w:lineRule="auto"/>
              <w:rPr>
                <w:rFonts w:cstheme="minorHAnsi"/>
                <w:b/>
                <w:bCs/>
              </w:rPr>
            </w:pPr>
            <w:r>
              <w:rPr>
                <w:rFonts w:cstheme="minorHAnsi"/>
                <w:b/>
                <w:bCs/>
              </w:rPr>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1803B2" w:rsidRDefault="00AB34B5"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8"/>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DB6710" w:rsidRDefault="00AB34B5"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AB34B5" w:rsidRPr="001803B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1803B2" w:rsidRDefault="00AB34B5" w:rsidP="00DB6710">
            <w:pPr>
              <w:spacing w:line="276" w:lineRule="auto"/>
              <w:rPr>
                <w:rFonts w:cstheme="minorHAnsi"/>
              </w:rPr>
            </w:pPr>
            <w:r>
              <w:rPr>
                <w:rFonts w:cstheme="minorHAnsi"/>
              </w:rPr>
              <w:t>Liczba osób obcego pochodzenia objętych wsparciem w</w:t>
            </w:r>
            <w:r w:rsidR="000408C9">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1803B2" w:rsidRDefault="00AB34B5" w:rsidP="00DB6710">
            <w:pPr>
              <w:spacing w:line="276" w:lineRule="auto"/>
              <w:rPr>
                <w:rFonts w:cstheme="minorHAnsi"/>
              </w:rPr>
            </w:pPr>
          </w:p>
        </w:tc>
      </w:tr>
      <w:tr w:rsidR="00AB34B5" w:rsidRPr="001803B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1803B2" w:rsidRDefault="00AB34B5" w:rsidP="00DB6710">
            <w:pPr>
              <w:spacing w:line="276" w:lineRule="auto"/>
              <w:rPr>
                <w:rFonts w:cstheme="minorHAnsi"/>
              </w:rPr>
            </w:pPr>
            <w:r>
              <w:rPr>
                <w:rFonts w:cstheme="minorHAnsi"/>
              </w:rPr>
              <w:t>Liczba osób z krajów trzecich objętych wsparciem w</w:t>
            </w:r>
            <w:r w:rsidR="00443DF8">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1803B2" w:rsidRDefault="00AB34B5" w:rsidP="00DB6710">
            <w:pPr>
              <w:spacing w:line="276" w:lineRule="auto"/>
              <w:rPr>
                <w:rFonts w:cstheme="minorHAnsi"/>
              </w:rPr>
            </w:pPr>
          </w:p>
        </w:tc>
      </w:tr>
      <w:tr w:rsidR="00AB34B5" w:rsidRPr="001803B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1803B2" w:rsidRDefault="00AB34B5"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9"/>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1803B2" w:rsidRDefault="00AB34B5" w:rsidP="00DB6710">
            <w:pPr>
              <w:spacing w:line="276" w:lineRule="auto"/>
              <w:rPr>
                <w:rFonts w:cstheme="minorHAnsi"/>
              </w:rPr>
            </w:pPr>
          </w:p>
        </w:tc>
      </w:tr>
      <w:tr w:rsidR="00AB34B5" w:rsidRPr="001803B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1803B2" w:rsidRDefault="00AB34B5"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1803B2" w:rsidRDefault="00AB34B5" w:rsidP="00DB6710">
            <w:pPr>
              <w:spacing w:line="276" w:lineRule="auto"/>
              <w:rPr>
                <w:rFonts w:cstheme="minorHAnsi"/>
              </w:rPr>
            </w:pPr>
          </w:p>
        </w:tc>
      </w:tr>
      <w:tr w:rsidR="00AB34B5" w:rsidRPr="001803B2" w14:paraId="7F020429" w14:textId="77777777" w:rsidTr="00AB34B5">
        <w:trPr>
          <w:trHeight w:val="561"/>
        </w:trPr>
        <w:tc>
          <w:tcPr>
            <w:tcW w:w="1686" w:type="dxa"/>
            <w:tcBorders>
              <w:top w:val="nil"/>
              <w:left w:val="single" w:sz="6" w:space="0" w:color="auto"/>
              <w:bottom w:val="single" w:sz="6" w:space="0" w:color="auto"/>
              <w:right w:val="single" w:sz="6" w:space="0" w:color="auto"/>
            </w:tcBorders>
          </w:tcPr>
          <w:p w14:paraId="77F47C9F" w14:textId="77777777" w:rsidR="00AB34B5" w:rsidRPr="001803B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DB6710" w:rsidRDefault="00AB34B5"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10"/>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1803B2" w:rsidRDefault="00AB34B5"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1"/>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77777777" w:rsidR="00CC68DA" w:rsidRDefault="00CC68DA" w:rsidP="00C0118F">
      <w:pPr>
        <w:sectPr w:rsidR="00CC68DA"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bookmarkStart w:id="35" w:name="_Toc141428632"/>
    </w:p>
    <w:p w14:paraId="24C481C1" w14:textId="1019FA9A" w:rsidR="00B8692A" w:rsidRPr="0036409A" w:rsidRDefault="00306D41" w:rsidP="007E7F0D">
      <w:pPr>
        <w:pStyle w:val="Nagwek3"/>
      </w:pPr>
      <w:r w:rsidRPr="007E7F0D">
        <w:t>Załącznik</w:t>
      </w:r>
      <w:r w:rsidRPr="00014B71">
        <w:t xml:space="preserve"> nr </w:t>
      </w:r>
      <w:r w:rsidR="00DE024B" w:rsidRPr="007E7F0D">
        <w:t xml:space="preserve">3 </w:t>
      </w:r>
      <w:r w:rsidR="00014B71" w:rsidRPr="007E7F0D">
        <w:t>–</w:t>
      </w:r>
      <w:r w:rsidR="00E50F22" w:rsidRPr="007E7F0D">
        <w:t xml:space="preserve"> </w:t>
      </w:r>
      <w:r>
        <w:t>P</w:t>
      </w:r>
      <w:r w:rsidRPr="00014B71">
        <w:t xml:space="preserve">odstawowe informacje dotyczące uzyskiwania </w:t>
      </w:r>
      <w:r w:rsidRPr="000B0EC7">
        <w:t>kwalifikacji</w:t>
      </w:r>
      <w:r w:rsidRPr="00014B71">
        <w:t xml:space="preserve"> w ramach projektów współfinansowanych </w:t>
      </w:r>
      <w:r w:rsidRPr="000B0EC7">
        <w:t>z</w:t>
      </w:r>
      <w:r w:rsidR="00014B71" w:rsidRPr="000B0EC7">
        <w:t xml:space="preserve"> </w:t>
      </w:r>
      <w:r w:rsidR="00B8692A" w:rsidRPr="000B0EC7">
        <w:t>EFS+</w:t>
      </w:r>
      <w:bookmarkEnd w:id="35"/>
    </w:p>
    <w:p w14:paraId="21B285BC" w14:textId="546F80B7" w:rsidR="00B8692A" w:rsidRPr="00B8692A" w:rsidRDefault="00B8692A" w:rsidP="00ED6037">
      <w:r w:rsidRPr="00B8692A">
        <w:t>Jednym ze wskaźników rezultatu bezpośredniego w programach współfinansowanych z EFS+ w</w:t>
      </w:r>
      <w:r w:rsidR="00443DF8">
        <w:t> </w:t>
      </w:r>
      <w:r w:rsidRPr="00B8692A">
        <w:t>perspektywie finansowej 2021-2027 jest liczba osób, które uzyskały kwalifikacje po opuszczeniu programu. Jest to wskaźnik wspólny, który obowiązkowo monitorowany jest we wszystkich projektach EFS+.</w:t>
      </w:r>
    </w:p>
    <w:p w14:paraId="58C12EC0" w14:textId="25DFE533" w:rsidR="00B8692A" w:rsidRPr="00B8692A" w:rsidRDefault="00B8692A" w:rsidP="00B8692A">
      <w:pPr>
        <w:rPr>
          <w:rFonts w:cs="Arial"/>
        </w:rPr>
      </w:pPr>
      <w:r w:rsidRPr="00B8692A">
        <w:rPr>
          <w:rFonts w:cs="Arial"/>
        </w:rPr>
        <w:t>Jest to również wskaźnik kluczowy w niektórych obszarach interwencji EFS+, np. w celu szczegółowym a, g, h, i, j (liczba osób, które uzyskały kwalifikacje po opuszczeniu programu), celu szczegółowym b (liczba pracowników instytucji rynku pracy, którzy uzyskali kwalifikacje po</w:t>
      </w:r>
      <w:r w:rsidR="00822F31">
        <w:rPr>
          <w:rFonts w:cs="Arial"/>
        </w:rPr>
        <w:t> </w:t>
      </w:r>
      <w:r w:rsidRPr="00B8692A">
        <w:rPr>
          <w:rFonts w:cs="Arial"/>
        </w:rPr>
        <w:t>opuszczeniu programu), celu szczegółowym d (liczba pracowników, którzy uzyskali kwalifikacje w</w:t>
      </w:r>
      <w:r w:rsidR="001D5485">
        <w:rPr>
          <w:rFonts w:cs="Arial"/>
        </w:rPr>
        <w:t> </w:t>
      </w:r>
      <w:r w:rsidRPr="00B8692A">
        <w:rPr>
          <w:rFonts w:cs="Arial"/>
        </w:rPr>
        <w:t xml:space="preserve">wyniku uczestnictwa w usłudze rozwojowej), celu szczegółowym f (liczba przedstawicieli kadry szkół i placówek systemu oświaty, którzy uzyskali kwalifikacje po opuszczeniu programu, liczba uczniów, którzy nabyli kwalifikacje lub kompetencje po opuszczeniu programu; liczba przedstawicieli kadry szkół i placówek systemu oświaty, którzy uzyskali kwalifikacje po opuszczeniu programu), celu szczegółowym g (liczba osób, które uzyskały kwalifikacje cyfrowe po opuszczeniu programu). </w:t>
      </w:r>
      <w:r w:rsidR="0063751F">
        <w:rPr>
          <w:rFonts w:cs="Arial"/>
        </w:rPr>
        <w:br/>
      </w:r>
      <w:r w:rsidRPr="00B8692A">
        <w:rPr>
          <w:rFonts w:cs="Arial"/>
        </w:rPr>
        <w:t xml:space="preserve">W przypadku takich projektów EFS+, wskaźnik ten jest wymagany do osiągnięcia i brak jego realizacji może powodować </w:t>
      </w:r>
      <w:proofErr w:type="spellStart"/>
      <w:r w:rsidRPr="00B8692A">
        <w:rPr>
          <w:rFonts w:cs="Arial"/>
        </w:rPr>
        <w:t>niekwalifikowalność</w:t>
      </w:r>
      <w:proofErr w:type="spellEnd"/>
      <w:r w:rsidRPr="00B8692A">
        <w:rPr>
          <w:rFonts w:cs="Arial"/>
        </w:rPr>
        <w:t xml:space="preserve"> wydatków z tytułu zastosowania reguły proporcjonalności. Istotne jest więc, aby beneficjenci i instytucje uczestniczące w systemie wdrażania EFS+ wiedzieli, jak należy interpretować wskaźnik dotyczący uzyskiwania kwalifikacji w projektach EFS+.</w:t>
      </w:r>
    </w:p>
    <w:p w14:paraId="062B5119" w14:textId="26E2F50D" w:rsidR="00B8692A" w:rsidRPr="00B8692A" w:rsidRDefault="00B8692A" w:rsidP="00B8692A">
      <w:pPr>
        <w:rPr>
          <w:rFonts w:cs="Arial"/>
        </w:rPr>
      </w:pPr>
      <w:r w:rsidRPr="00B8692A">
        <w:rPr>
          <w:rFonts w:cs="Arial"/>
        </w:rPr>
        <w:t>Niniejszy materiał został opracowany na potrzeby perspektywy finansowej 2014-2020 i</w:t>
      </w:r>
      <w:r w:rsidR="00822F31">
        <w:rPr>
          <w:rFonts w:cs="Arial"/>
        </w:rPr>
        <w:t> </w:t>
      </w:r>
      <w:r w:rsidRPr="00B8692A">
        <w:rPr>
          <w:rFonts w:cs="Arial"/>
        </w:rPr>
        <w:t>po</w:t>
      </w:r>
      <w:r w:rsidR="00822F31">
        <w:rPr>
          <w:rFonts w:cs="Arial"/>
        </w:rPr>
        <w:t> </w:t>
      </w:r>
      <w:r w:rsidRPr="00B8692A">
        <w:rPr>
          <w:rFonts w:cs="Arial"/>
        </w:rPr>
        <w:t>aktualizacji, ma zastosowanie również do perspektywy 2021-2027. Przygotowano go na</w:t>
      </w:r>
      <w:r w:rsidR="00822F31">
        <w:rPr>
          <w:rFonts w:cs="Arial"/>
        </w:rPr>
        <w:t> </w:t>
      </w:r>
      <w:r w:rsidRPr="00B8692A">
        <w:rPr>
          <w:rFonts w:cs="Arial"/>
        </w:rPr>
        <w:t>podstawie Raportu Referencyjnego. Odniesienie Polskiej Ramy Kwalifikacji na rzecz uczenia się przez całe życie do europejskiej ramy kwalifikacji opracowanego przez Instytut Badań Edukacyjnych oraz ustawy o Zintegrowanym Systemie Kwalifikacji z dnia 22 grudnia 2015 r. (Dz. U. z 2020 r. poz.</w:t>
      </w:r>
      <w:r w:rsidR="00822F31">
        <w:rPr>
          <w:rFonts w:cs="Arial"/>
        </w:rPr>
        <w:t> </w:t>
      </w:r>
      <w:r w:rsidRPr="00B8692A">
        <w:rPr>
          <w:rFonts w:cs="Arial"/>
        </w:rPr>
        <w:t>226.), zwanej dalej „ustawą o ZSK”.</w:t>
      </w:r>
    </w:p>
    <w:p w14:paraId="46D2DB49" w14:textId="39F63C22" w:rsidR="00B8692A" w:rsidRPr="00B8692A" w:rsidRDefault="00B8692A" w:rsidP="00822F31">
      <w:r w:rsidRPr="00B8692A">
        <w:t>Materiał jest interpretacją Ministerstwa Funduszy i Polityki Regionalnej (Ministerstwo) i jego rolą jest wyjaśnienie, w jaki sposób mierzyć wskaźniki EFS+ dotyczące uzyskiwania kwalifikacji. Opracowanie będzie obowiązywać do czasu wpisania do</w:t>
      </w:r>
      <w:r w:rsidR="0063751F">
        <w:t xml:space="preserve"> </w:t>
      </w:r>
      <w:r w:rsidRPr="00B8692A">
        <w:t>Zintegrowanego Rejestru Kwalifikacji (ZRK) (tym samym – włączenia do Zintegrowanego Systemu Kwalifikacji (ZSK)) odpowiedniej liczby kwalifikacji z przypisanym poziomem Polskiej Ramy Kwalifikacji</w:t>
      </w:r>
      <w:r w:rsidR="0063751F">
        <w:rPr>
          <w:rStyle w:val="Odwoanieprzypisudolnego"/>
          <w:rFonts w:cs="Arial"/>
        </w:rPr>
        <w:footnoteReference w:id="12"/>
      </w:r>
      <w:r w:rsidRPr="00B8692A">
        <w:t xml:space="preserve"> (PRK), w tym tzw. kwalifikacji z zakresu edukacji pozaformalnej. Ministerstwo przekaże informację o terminie, do kiedy powyższe zasady będą miały charakter obowiązujący w kontekście realizacji projektów współfinansowanych z EFS+, a od kiedy za</w:t>
      </w:r>
      <w:r w:rsidR="00822F31">
        <w:t> </w:t>
      </w:r>
      <w:r w:rsidRPr="00B8692A">
        <w:t>kwalifikacje będzie można uznać wyłącznie te określone w Zintegrowanym Rejestrze Kwalifikacji. ZSK obejmuje kwalifikacje pełne (które mogą być nadawane wyłącznie przez szkoły i uczelnie) oraz kwalifikacje cząstkowe. Kwalifikacje pełne oraz kwalifikacje w zawodach (cząstkowe) są włączone do</w:t>
      </w:r>
      <w:r w:rsidR="00822F31">
        <w:t> </w:t>
      </w:r>
      <w:r w:rsidRPr="00B8692A">
        <w:t>ZSK z mocy ustawy. Pozostałe kwalifikacje cząstkowe (np. kwalifikacje nadawane po ukończeniu studiów podyplomowych, kwalifikacje uregulowane, inne kwalifikacje z zakresu edukacji pozaformalnej) są włączane do ZSK na wniosek zainteresowanego podmiotu.</w:t>
      </w:r>
    </w:p>
    <w:p w14:paraId="223369FF" w14:textId="77777777" w:rsidR="00B8692A" w:rsidRPr="00B8692A" w:rsidRDefault="00B8692A" w:rsidP="00B8692A">
      <w:pPr>
        <w:rPr>
          <w:rFonts w:cs="Arial"/>
        </w:rPr>
      </w:pPr>
      <w:r w:rsidRPr="00B8692A">
        <w:rPr>
          <w:rFonts w:cs="Arial"/>
        </w:rPr>
        <w:t>W związku z szerszym rozumieniem pojęcia „kwalifikacje” przez Komisję Europejską</w:t>
      </w:r>
      <w:r w:rsidR="0063751F">
        <w:rPr>
          <w:rStyle w:val="Odwoanieprzypisudolnego"/>
          <w:rFonts w:cs="Arial"/>
        </w:rPr>
        <w:footnoteReference w:id="13"/>
      </w:r>
      <w:r w:rsidRPr="00B8692A">
        <w:rPr>
          <w:rFonts w:cs="Arial"/>
        </w:rPr>
        <w:t xml:space="preserve">, niż pojęcie używane na gruncie polskim, </w:t>
      </w:r>
      <w:r w:rsidRPr="0063751F">
        <w:rPr>
          <w:rFonts w:cs="Arial"/>
          <w:b/>
        </w:rPr>
        <w:t>do wskaźnika wliczane są również osoby, które w wyniku realizacji projektu nabyły kompetencje</w:t>
      </w:r>
      <w:r w:rsidRPr="00B8692A">
        <w:rPr>
          <w:rFonts w:cs="Arial"/>
        </w:rPr>
        <w:t xml:space="preserve"> - pod warunkiem spełnienia wymogów, o których mowa w punkcie 4 poniżej. Niemniej, w celu uproszczenia nazwy wskaźnika i zastosowania terminologii określonej przez KE dla wskaźników wspólnych, w nazwie wskaźnika wykorzystuje się tylko pojęcie ‘kwalifikacji’.</w:t>
      </w:r>
    </w:p>
    <w:p w14:paraId="29761363" w14:textId="77777777" w:rsidR="00B8692A" w:rsidRPr="0063751F" w:rsidRDefault="00B8692A" w:rsidP="00B8692A">
      <w:pPr>
        <w:rPr>
          <w:rFonts w:cs="Arial"/>
          <w:b/>
        </w:rPr>
      </w:pPr>
      <w:r w:rsidRPr="0063751F">
        <w:rPr>
          <w:rFonts w:cs="Arial"/>
          <w:b/>
        </w:rPr>
        <w:t>1) Pojęcie kwalifikacji</w:t>
      </w:r>
    </w:p>
    <w:p w14:paraId="31D275D6" w14:textId="77777777" w:rsidR="00B8692A" w:rsidRPr="00B8692A" w:rsidRDefault="00B8692A" w:rsidP="00B8692A">
      <w:pPr>
        <w:rPr>
          <w:rFonts w:cs="Arial"/>
        </w:rPr>
      </w:pPr>
      <w:r w:rsidRPr="0063751F">
        <w:rPr>
          <w:rFonts w:cs="Arial"/>
          <w:b/>
        </w:rPr>
        <w:t>Kwalifikacja</w:t>
      </w:r>
      <w:r w:rsidRPr="00B8692A">
        <w:rPr>
          <w:rFonts w:cs="Arial"/>
        </w:rPr>
        <w:t xml:space="preserve"> to określony zestaw </w:t>
      </w:r>
      <w:r w:rsidRPr="00CC68DA">
        <w:rPr>
          <w:rFonts w:cs="Arial"/>
          <w:spacing w:val="50"/>
        </w:rPr>
        <w:t>efektów uczenia się</w:t>
      </w:r>
      <w:r w:rsidRPr="00B8692A">
        <w:rPr>
          <w:rFonts w:cs="Arial"/>
        </w:rPr>
        <w:t xml:space="preserve"> w zakresie wiedzy, umiejętności oraz kompetencji społecznych nabytych w drodze edukacji formalnej, edukacji pozaformalnej lub poprzez uczenie się nieformalne, zgodnych z ustalonymi</w:t>
      </w:r>
      <w:r w:rsidR="0063751F">
        <w:rPr>
          <w:rFonts w:cs="Arial"/>
        </w:rPr>
        <w:t xml:space="preserve"> </w:t>
      </w:r>
      <w:r w:rsidRPr="00B8692A">
        <w:rPr>
          <w:rFonts w:cs="Arial"/>
        </w:rPr>
        <w:t xml:space="preserve">dla danej kwalifikacji </w:t>
      </w:r>
      <w:r w:rsidRPr="00CC68DA">
        <w:rPr>
          <w:rFonts w:cs="Arial"/>
          <w:spacing w:val="50"/>
        </w:rPr>
        <w:t>wymaganiami</w:t>
      </w:r>
      <w:r w:rsidRPr="00B8692A">
        <w:rPr>
          <w:rFonts w:cs="Arial"/>
        </w:rPr>
        <w:t>, których osiągnięcie zostało sprawdzone w walidacji oraz formalnie potwierdzone przez instytucję uprawnioną do certyfikowania.</w:t>
      </w:r>
    </w:p>
    <w:p w14:paraId="71FF6769" w14:textId="77777777" w:rsidR="00B8692A" w:rsidRPr="00B8692A" w:rsidRDefault="00B8692A" w:rsidP="00B8692A">
      <w:pPr>
        <w:rPr>
          <w:rFonts w:cs="Arial"/>
        </w:rPr>
      </w:pPr>
      <w:r w:rsidRPr="0063751F">
        <w:rPr>
          <w:rFonts w:cs="Arial"/>
          <w:b/>
        </w:rPr>
        <w:t>Zgodność z ustalonymi wymaganiami</w:t>
      </w:r>
      <w:r w:rsidRPr="00B8692A">
        <w:rPr>
          <w:rFonts w:cs="Arial"/>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6E2F0AB9" w14:textId="77777777" w:rsidR="00B8692A" w:rsidRPr="00B8692A" w:rsidRDefault="00B8692A" w:rsidP="00B8692A">
      <w:pPr>
        <w:rPr>
          <w:rFonts w:cs="Arial"/>
        </w:rPr>
      </w:pPr>
      <w:r w:rsidRPr="00B8692A">
        <w:rPr>
          <w:rFonts w:cs="Arial"/>
        </w:rPr>
        <w:t xml:space="preserve">Opisanie kwalifikacji za pomocą </w:t>
      </w:r>
      <w:r w:rsidRPr="0063751F">
        <w:rPr>
          <w:rFonts w:cs="Arial"/>
          <w:b/>
        </w:rPr>
        <w:t>efektów uczenia się</w:t>
      </w:r>
      <w:r w:rsidRPr="00B8692A">
        <w:rPr>
          <w:rFonts w:cs="Arial"/>
        </w:rP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w:t>
      </w:r>
    </w:p>
    <w:p w14:paraId="1DBB447C" w14:textId="40771B8C" w:rsidR="00B8692A" w:rsidRPr="00B8692A" w:rsidRDefault="00B8692A" w:rsidP="00CC68DA">
      <w:pPr>
        <w:keepLines/>
        <w:rPr>
          <w:rFonts w:cs="Arial"/>
        </w:rPr>
      </w:pPr>
      <w:r w:rsidRPr="0063751F">
        <w:rPr>
          <w:rFonts w:cs="Arial"/>
          <w:b/>
        </w:rPr>
        <w:t xml:space="preserve">Efekty uczenia się </w:t>
      </w:r>
      <w:r w:rsidRPr="00B8692A">
        <w:rPr>
          <w:rFonts w:cs="Arial"/>
        </w:rPr>
        <w:t>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w:t>
      </w:r>
      <w:r w:rsidR="00232C53">
        <w:rPr>
          <w:rFonts w:cs="Arial"/>
        </w:rPr>
        <w:t> </w:t>
      </w:r>
      <w:r w:rsidRPr="00B8692A">
        <w:rPr>
          <w:rFonts w:cs="Arial"/>
        </w:rPr>
        <w:t>zaobserwowania oraz do zweryfikowania. Podczas formułowania wyrażeń opisujących efekty uczenia się, pomocne jest korzystanie z czasowników opisujących czynności, działania, które potrafi wykonać osoba posiadająca daną kwalifikację.</w:t>
      </w:r>
    </w:p>
    <w:p w14:paraId="343F0477" w14:textId="77777777" w:rsidR="00B8692A" w:rsidRPr="0063751F" w:rsidRDefault="00B8692A" w:rsidP="00B8692A">
      <w:pPr>
        <w:rPr>
          <w:rFonts w:cs="Arial"/>
          <w:b/>
        </w:rPr>
      </w:pPr>
      <w:r w:rsidRPr="0063751F">
        <w:rPr>
          <w:rFonts w:cs="Arial"/>
          <w:b/>
        </w:rPr>
        <w:t>Tabela 1 Przykłady efektów uczenia się z kwalifikacji pełnych nadawanych przez szkoły wyższe</w:t>
      </w:r>
    </w:p>
    <w:tbl>
      <w:tblPr>
        <w:tblStyle w:val="Tabela-Siatka"/>
        <w:tblW w:w="0" w:type="auto"/>
        <w:tblLook w:val="04A0" w:firstRow="1" w:lastRow="0" w:firstColumn="1" w:lastColumn="0" w:noHBand="0" w:noVBand="1"/>
      </w:tblPr>
      <w:tblGrid>
        <w:gridCol w:w="1980"/>
        <w:gridCol w:w="3402"/>
        <w:gridCol w:w="3678"/>
      </w:tblGrid>
      <w:tr w:rsidR="0063751F" w14:paraId="66A871E8" w14:textId="77777777" w:rsidTr="00F50E52">
        <w:tc>
          <w:tcPr>
            <w:tcW w:w="1980" w:type="dxa"/>
          </w:tcPr>
          <w:p w14:paraId="709B24A4" w14:textId="77777777" w:rsidR="0063751F" w:rsidRPr="0063751F" w:rsidRDefault="0063751F" w:rsidP="0063751F">
            <w:pPr>
              <w:rPr>
                <w:rFonts w:cs="Arial"/>
                <w:b/>
              </w:rPr>
            </w:pPr>
            <w:r w:rsidRPr="0063751F">
              <w:rPr>
                <w:rFonts w:cs="Arial"/>
                <w:b/>
              </w:rPr>
              <w:t>Kwalifikacja</w:t>
            </w:r>
          </w:p>
          <w:p w14:paraId="0AD99880" w14:textId="77777777" w:rsidR="0063751F" w:rsidRPr="0063751F" w:rsidRDefault="0063751F" w:rsidP="00B8692A">
            <w:pPr>
              <w:rPr>
                <w:rFonts w:cs="Arial"/>
                <w:b/>
              </w:rPr>
            </w:pPr>
          </w:p>
        </w:tc>
        <w:tc>
          <w:tcPr>
            <w:tcW w:w="3402" w:type="dxa"/>
          </w:tcPr>
          <w:p w14:paraId="58BC0FC9" w14:textId="77777777" w:rsidR="0063751F" w:rsidRPr="0063751F" w:rsidRDefault="0063751F" w:rsidP="00B8692A">
            <w:pPr>
              <w:rPr>
                <w:rFonts w:cs="Arial"/>
                <w:b/>
              </w:rPr>
            </w:pPr>
            <w:r w:rsidRPr="0063751F">
              <w:rPr>
                <w:rFonts w:cs="Arial"/>
                <w:b/>
              </w:rPr>
              <w:t>Źródło informacji nt. kwalifikacji i efektów uczenia się</w:t>
            </w:r>
          </w:p>
        </w:tc>
        <w:tc>
          <w:tcPr>
            <w:tcW w:w="3678" w:type="dxa"/>
          </w:tcPr>
          <w:p w14:paraId="41B66F15" w14:textId="77777777" w:rsidR="0063751F" w:rsidRPr="0063751F" w:rsidRDefault="0063751F" w:rsidP="0063751F">
            <w:pPr>
              <w:rPr>
                <w:rFonts w:cs="Arial"/>
                <w:b/>
              </w:rPr>
            </w:pPr>
            <w:r w:rsidRPr="0063751F">
              <w:rPr>
                <w:rFonts w:cs="Arial"/>
                <w:b/>
              </w:rPr>
              <w:t>Wybrane efekty uczenia się dla danej kwalifikacji</w:t>
            </w:r>
          </w:p>
          <w:p w14:paraId="0ED04309" w14:textId="77777777" w:rsidR="0063751F" w:rsidRPr="0063751F" w:rsidRDefault="0063751F" w:rsidP="00B8692A">
            <w:pPr>
              <w:rPr>
                <w:rFonts w:cs="Arial"/>
                <w:b/>
              </w:rPr>
            </w:pPr>
            <w:r w:rsidRPr="0063751F">
              <w:rPr>
                <w:rFonts w:cs="Arial"/>
                <w:b/>
              </w:rPr>
              <w:t>Osoba ucząca się:</w:t>
            </w:r>
          </w:p>
        </w:tc>
      </w:tr>
      <w:tr w:rsidR="0063751F" w14:paraId="5D174F55" w14:textId="77777777" w:rsidTr="00F50E52">
        <w:tc>
          <w:tcPr>
            <w:tcW w:w="1980" w:type="dxa"/>
          </w:tcPr>
          <w:p w14:paraId="6726AF9D" w14:textId="77777777" w:rsidR="0063751F" w:rsidRPr="00B8692A" w:rsidRDefault="0063751F" w:rsidP="0063751F">
            <w:pPr>
              <w:rPr>
                <w:rFonts w:cs="Arial"/>
              </w:rPr>
            </w:pPr>
            <w:r w:rsidRPr="00B8692A">
              <w:rPr>
                <w:rFonts w:cs="Arial"/>
              </w:rPr>
              <w:t>Lekarz weterynarii</w:t>
            </w:r>
          </w:p>
          <w:p w14:paraId="522C0E2C" w14:textId="77777777" w:rsidR="0063751F" w:rsidRDefault="0063751F" w:rsidP="00B8692A">
            <w:pPr>
              <w:rPr>
                <w:rFonts w:cs="Arial"/>
              </w:rPr>
            </w:pPr>
          </w:p>
        </w:tc>
        <w:tc>
          <w:tcPr>
            <w:tcW w:w="3402" w:type="dxa"/>
          </w:tcPr>
          <w:p w14:paraId="7F289CA6" w14:textId="77777777" w:rsidR="0063751F" w:rsidRPr="00B8692A" w:rsidRDefault="0063751F" w:rsidP="0063751F">
            <w:pPr>
              <w:rPr>
                <w:rFonts w:cs="Arial"/>
              </w:rPr>
            </w:pPr>
            <w:r w:rsidRPr="00B8692A">
              <w:rPr>
                <w:rFonts w:cs="Arial"/>
              </w:rPr>
              <w:t>Program kształcenia na studiach jednolitych magisterskich na kierunku Weterynaria</w:t>
            </w:r>
          </w:p>
          <w:p w14:paraId="540E975F" w14:textId="77777777" w:rsidR="0063751F" w:rsidRDefault="0063751F" w:rsidP="0063751F">
            <w:pPr>
              <w:rPr>
                <w:rFonts w:cs="Arial"/>
              </w:rPr>
            </w:pPr>
          </w:p>
        </w:tc>
        <w:tc>
          <w:tcPr>
            <w:tcW w:w="3678" w:type="dxa"/>
          </w:tcPr>
          <w:p w14:paraId="4ED1F625" w14:textId="77777777" w:rsidR="0063751F" w:rsidRPr="0063751F" w:rsidRDefault="0063751F" w:rsidP="009E064E">
            <w:pPr>
              <w:pStyle w:val="Akapitzlist"/>
              <w:numPr>
                <w:ilvl w:val="0"/>
                <w:numId w:val="14"/>
              </w:numPr>
              <w:ind w:left="365"/>
              <w:rPr>
                <w:rFonts w:cs="Arial"/>
              </w:rPr>
            </w:pPr>
            <w:r w:rsidRPr="0063751F">
              <w:rPr>
                <w:rFonts w:cs="Arial"/>
              </w:rPr>
              <w:t>opisuje zasady żywienia zwierząt, układa i analizuje dawki pokarmowe</w:t>
            </w:r>
          </w:p>
          <w:p w14:paraId="67DCD317" w14:textId="77777777" w:rsidR="0063751F" w:rsidRPr="0063751F" w:rsidRDefault="0063751F" w:rsidP="009E064E">
            <w:pPr>
              <w:pStyle w:val="Akapitzlist"/>
              <w:numPr>
                <w:ilvl w:val="0"/>
                <w:numId w:val="14"/>
              </w:numPr>
              <w:ind w:left="365"/>
              <w:rPr>
                <w:rFonts w:cs="Arial"/>
              </w:rPr>
            </w:pPr>
            <w:r w:rsidRPr="0063751F">
              <w:rPr>
                <w:rFonts w:cs="Arial"/>
              </w:rPr>
              <w:t>opisuje i wyjaśnia procesy metaboliczne na poziomie molekularnym, komórkowym</w:t>
            </w:r>
          </w:p>
          <w:p w14:paraId="1D9AF78B" w14:textId="7326B7A0" w:rsidR="0063751F" w:rsidRPr="0063751F" w:rsidRDefault="0063751F" w:rsidP="009E064E">
            <w:pPr>
              <w:pStyle w:val="Akapitzlist"/>
              <w:numPr>
                <w:ilvl w:val="0"/>
                <w:numId w:val="14"/>
              </w:numPr>
              <w:ind w:left="365"/>
              <w:rPr>
                <w:rFonts w:cs="Arial"/>
              </w:rPr>
            </w:pPr>
            <w:r w:rsidRPr="0063751F">
              <w:rPr>
                <w:rFonts w:cs="Arial"/>
              </w:rPr>
              <w:t>wykonuje badania przed- i</w:t>
            </w:r>
            <w:r w:rsidR="00F15FCB">
              <w:rPr>
                <w:rFonts w:cs="Arial"/>
              </w:rPr>
              <w:t> </w:t>
            </w:r>
            <w:r w:rsidRPr="0063751F">
              <w:rPr>
                <w:rFonts w:cs="Arial"/>
              </w:rPr>
              <w:t>poubojowe oraz ocenia jakość produktów pochodzenia zwierzęcego</w:t>
            </w:r>
          </w:p>
        </w:tc>
      </w:tr>
      <w:tr w:rsidR="0063751F" w14:paraId="38B2347F" w14:textId="77777777" w:rsidTr="00F50E52">
        <w:tc>
          <w:tcPr>
            <w:tcW w:w="1980" w:type="dxa"/>
          </w:tcPr>
          <w:p w14:paraId="624B66CA" w14:textId="77777777" w:rsidR="0063751F" w:rsidRPr="00B8692A" w:rsidRDefault="0063751F" w:rsidP="0063751F">
            <w:pPr>
              <w:rPr>
                <w:rFonts w:cs="Arial"/>
              </w:rPr>
            </w:pPr>
            <w:r w:rsidRPr="00B8692A">
              <w:rPr>
                <w:rFonts w:cs="Arial"/>
              </w:rPr>
              <w:t>Magister farmacji</w:t>
            </w:r>
          </w:p>
          <w:p w14:paraId="01B33757" w14:textId="77777777" w:rsidR="0063751F" w:rsidRDefault="0063751F" w:rsidP="00B8692A">
            <w:pPr>
              <w:rPr>
                <w:rFonts w:cs="Arial"/>
              </w:rPr>
            </w:pPr>
          </w:p>
        </w:tc>
        <w:tc>
          <w:tcPr>
            <w:tcW w:w="3402" w:type="dxa"/>
          </w:tcPr>
          <w:p w14:paraId="535EC3EB" w14:textId="306B0642" w:rsidR="0063751F" w:rsidRDefault="0063751F" w:rsidP="00B8692A">
            <w:pPr>
              <w:rPr>
                <w:rFonts w:cs="Arial"/>
              </w:rPr>
            </w:pPr>
            <w:r w:rsidRPr="00B8692A">
              <w:rPr>
                <w:rFonts w:cs="Arial"/>
              </w:rPr>
              <w:t>Program kształcenia na studiach jednolitych magisterskich na</w:t>
            </w:r>
            <w:r w:rsidR="00E565CE">
              <w:rPr>
                <w:rFonts w:cs="Arial"/>
              </w:rPr>
              <w:t> </w:t>
            </w:r>
            <w:r w:rsidRPr="00B8692A">
              <w:rPr>
                <w:rFonts w:cs="Arial"/>
              </w:rPr>
              <w:t>kierunku Farmacja</w:t>
            </w:r>
          </w:p>
        </w:tc>
        <w:tc>
          <w:tcPr>
            <w:tcW w:w="3678" w:type="dxa"/>
          </w:tcPr>
          <w:p w14:paraId="758EFADE" w14:textId="4167100C" w:rsidR="0063751F" w:rsidRPr="00B8692A" w:rsidRDefault="0063751F" w:rsidP="009E064E">
            <w:pPr>
              <w:pStyle w:val="Akapitzlist"/>
              <w:numPr>
                <w:ilvl w:val="0"/>
                <w:numId w:val="14"/>
              </w:numPr>
              <w:ind w:left="365"/>
              <w:rPr>
                <w:rFonts w:cs="Arial"/>
              </w:rPr>
            </w:pPr>
            <w:r w:rsidRPr="00B8692A">
              <w:rPr>
                <w:rFonts w:cs="Arial"/>
              </w:rPr>
              <w:t>opisuje wpływ środków dezynfekujących i</w:t>
            </w:r>
            <w:r w:rsidR="00E565CE">
              <w:rPr>
                <w:rFonts w:cs="Arial"/>
              </w:rPr>
              <w:t> </w:t>
            </w:r>
            <w:r w:rsidRPr="00B8692A">
              <w:rPr>
                <w:rFonts w:cs="Arial"/>
              </w:rPr>
              <w:t>antyseptycznych na</w:t>
            </w:r>
            <w:r w:rsidR="00E565CE">
              <w:rPr>
                <w:rFonts w:cs="Arial"/>
              </w:rPr>
              <w:t> </w:t>
            </w:r>
            <w:r w:rsidRPr="00B8692A">
              <w:rPr>
                <w:rFonts w:cs="Arial"/>
              </w:rPr>
              <w:t>drobnoustroje</w:t>
            </w:r>
          </w:p>
          <w:p w14:paraId="093B0818" w14:textId="77777777" w:rsidR="0063751F" w:rsidRPr="0063751F" w:rsidRDefault="0063751F" w:rsidP="009E064E">
            <w:pPr>
              <w:pStyle w:val="Akapitzlist"/>
              <w:numPr>
                <w:ilvl w:val="0"/>
                <w:numId w:val="14"/>
              </w:numPr>
              <w:ind w:left="365"/>
              <w:rPr>
                <w:rFonts w:cs="Arial"/>
              </w:rPr>
            </w:pPr>
            <w:r w:rsidRPr="00B8692A">
              <w:rPr>
                <w:rFonts w:cs="Arial"/>
              </w:rPr>
              <w:t>wykorzystuje techniki biologii molekularnej w diagnostyce mikrobiologicznej</w:t>
            </w:r>
          </w:p>
        </w:tc>
      </w:tr>
    </w:tbl>
    <w:p w14:paraId="2794B352" w14:textId="77777777" w:rsidR="00B8692A" w:rsidRPr="0063751F" w:rsidRDefault="00B8692A" w:rsidP="00E565CE">
      <w:pPr>
        <w:spacing w:before="240"/>
        <w:rPr>
          <w:rFonts w:cs="Arial"/>
          <w:b/>
        </w:rPr>
      </w:pPr>
      <w:r w:rsidRPr="0063751F">
        <w:rPr>
          <w:rFonts w:cs="Arial"/>
          <w:b/>
        </w:rPr>
        <w:t>Tabela 2 Przykładowe zestawy efektów uczenia się i kryteria ich weryfikacji, pochodzące z opisów kwalifikacji rynkowych (cząstkowych) włączonych do Zintegrowanego Systemu Kwalifikacji</w:t>
      </w:r>
    </w:p>
    <w:tbl>
      <w:tblPr>
        <w:tblStyle w:val="Tabela-Siatka"/>
        <w:tblW w:w="0" w:type="auto"/>
        <w:tblLook w:val="04A0" w:firstRow="1" w:lastRow="0" w:firstColumn="1" w:lastColumn="0" w:noHBand="0" w:noVBand="1"/>
      </w:tblPr>
      <w:tblGrid>
        <w:gridCol w:w="1979"/>
        <w:gridCol w:w="1988"/>
        <w:gridCol w:w="2267"/>
        <w:gridCol w:w="2826"/>
      </w:tblGrid>
      <w:tr w:rsidR="0063751F" w14:paraId="06FD5F11" w14:textId="77777777" w:rsidTr="00F50E52">
        <w:tc>
          <w:tcPr>
            <w:tcW w:w="1980" w:type="dxa"/>
          </w:tcPr>
          <w:p w14:paraId="0EB019B3" w14:textId="77777777" w:rsidR="0063751F" w:rsidRPr="0063751F" w:rsidRDefault="0063751F" w:rsidP="0063751F">
            <w:pPr>
              <w:rPr>
                <w:rFonts w:cs="Arial"/>
                <w:b/>
              </w:rPr>
            </w:pPr>
            <w:r w:rsidRPr="0063751F">
              <w:rPr>
                <w:rFonts w:cs="Arial"/>
                <w:b/>
              </w:rPr>
              <w:t>Kwalifikacja</w:t>
            </w:r>
          </w:p>
          <w:p w14:paraId="14D69164" w14:textId="77777777" w:rsidR="0063751F" w:rsidRPr="0063751F" w:rsidRDefault="0063751F" w:rsidP="00B8692A">
            <w:pPr>
              <w:rPr>
                <w:rFonts w:cs="Arial"/>
                <w:b/>
              </w:rPr>
            </w:pPr>
          </w:p>
        </w:tc>
        <w:tc>
          <w:tcPr>
            <w:tcW w:w="1984" w:type="dxa"/>
          </w:tcPr>
          <w:p w14:paraId="06400AEC" w14:textId="31B6687A" w:rsidR="0063751F" w:rsidRPr="0063751F" w:rsidRDefault="0063751F" w:rsidP="00E565CE">
            <w:pPr>
              <w:rPr>
                <w:rFonts w:cs="Arial"/>
                <w:b/>
              </w:rPr>
            </w:pPr>
            <w:r w:rsidRPr="0063751F">
              <w:rPr>
                <w:rFonts w:cs="Arial"/>
                <w:b/>
              </w:rPr>
              <w:t>Źródło informacji nt. kwalifikacji i efektów uczenia się</w:t>
            </w:r>
          </w:p>
        </w:tc>
        <w:tc>
          <w:tcPr>
            <w:tcW w:w="2268" w:type="dxa"/>
          </w:tcPr>
          <w:p w14:paraId="61EFC1BF" w14:textId="77777777" w:rsidR="0063751F" w:rsidRPr="0063751F" w:rsidRDefault="0063751F" w:rsidP="00B8692A">
            <w:pPr>
              <w:rPr>
                <w:rFonts w:cs="Arial"/>
                <w:b/>
              </w:rPr>
            </w:pPr>
            <w:r w:rsidRPr="0063751F">
              <w:rPr>
                <w:rFonts w:cs="Arial"/>
                <w:b/>
              </w:rPr>
              <w:t>Wybrane efekty uczenia się dla wybranego zestawu danej kwalifikacji</w:t>
            </w:r>
          </w:p>
        </w:tc>
        <w:tc>
          <w:tcPr>
            <w:tcW w:w="2828" w:type="dxa"/>
          </w:tcPr>
          <w:p w14:paraId="45E89733" w14:textId="77777777" w:rsidR="0063751F" w:rsidRPr="0063751F" w:rsidRDefault="0063751F" w:rsidP="00B8692A">
            <w:pPr>
              <w:rPr>
                <w:rFonts w:cs="Arial"/>
                <w:b/>
              </w:rPr>
            </w:pPr>
            <w:r w:rsidRPr="0063751F">
              <w:rPr>
                <w:rFonts w:cs="Arial"/>
                <w:b/>
              </w:rPr>
              <w:t>Wybrane kryteria weryfikacji przypisane danym efektom uczenia się</w:t>
            </w:r>
          </w:p>
        </w:tc>
      </w:tr>
      <w:tr w:rsidR="0063751F" w14:paraId="2B9E6AF1" w14:textId="77777777" w:rsidTr="00F50E52">
        <w:tc>
          <w:tcPr>
            <w:tcW w:w="1980" w:type="dxa"/>
          </w:tcPr>
          <w:p w14:paraId="4134B2FE" w14:textId="77777777" w:rsidR="0063751F" w:rsidRPr="00B8692A" w:rsidRDefault="0063751F" w:rsidP="0063751F">
            <w:pPr>
              <w:rPr>
                <w:rFonts w:cs="Arial"/>
              </w:rPr>
            </w:pPr>
            <w:r w:rsidRPr="00B8692A">
              <w:rPr>
                <w:rFonts w:cs="Arial"/>
              </w:rPr>
              <w:t>Pilotowanie imprez</w:t>
            </w:r>
          </w:p>
          <w:p w14:paraId="1DC38D5F" w14:textId="77777777" w:rsidR="0063751F" w:rsidRDefault="0063751F" w:rsidP="00B8692A">
            <w:pPr>
              <w:rPr>
                <w:rFonts w:cs="Arial"/>
              </w:rPr>
            </w:pPr>
            <w:r w:rsidRPr="00B8692A">
              <w:rPr>
                <w:rFonts w:cs="Arial"/>
              </w:rPr>
              <w:t>turystycznych</w:t>
            </w:r>
          </w:p>
        </w:tc>
        <w:tc>
          <w:tcPr>
            <w:tcW w:w="1984" w:type="dxa"/>
          </w:tcPr>
          <w:p w14:paraId="721339D8" w14:textId="182D97C4" w:rsidR="0063751F" w:rsidRDefault="0063751F" w:rsidP="00E565CE">
            <w:pPr>
              <w:rPr>
                <w:rFonts w:cs="Arial"/>
              </w:rPr>
            </w:pPr>
            <w:r w:rsidRPr="00B8692A">
              <w:rPr>
                <w:rFonts w:cs="Arial"/>
              </w:rPr>
              <w:t>Obwieszczenie Ministra Sportu i</w:t>
            </w:r>
            <w:r w:rsidR="00E565CE">
              <w:rPr>
                <w:rFonts w:cs="Arial"/>
              </w:rPr>
              <w:t> </w:t>
            </w:r>
            <w:r w:rsidRPr="00B8692A">
              <w:rPr>
                <w:rFonts w:cs="Arial"/>
              </w:rPr>
              <w:t>Turystyki z dnia 17</w:t>
            </w:r>
            <w:r w:rsidR="00E565CE">
              <w:rPr>
                <w:rFonts w:cs="Arial"/>
              </w:rPr>
              <w:t> </w:t>
            </w:r>
            <w:r w:rsidRPr="00B8692A">
              <w:rPr>
                <w:rFonts w:cs="Arial"/>
              </w:rPr>
              <w:t>maja 2018 r. w</w:t>
            </w:r>
            <w:r w:rsidR="00E565CE">
              <w:rPr>
                <w:rFonts w:cs="Arial"/>
              </w:rPr>
              <w:t> </w:t>
            </w:r>
            <w:r w:rsidRPr="00B8692A">
              <w:rPr>
                <w:rFonts w:cs="Arial"/>
              </w:rPr>
              <w:t>sprawie włączenia kwalifikacji rynkowej „Pilotowanie imprez turystycznych” do</w:t>
            </w:r>
            <w:r w:rsidR="00E565CE">
              <w:rPr>
                <w:rFonts w:cs="Arial"/>
              </w:rPr>
              <w:t> </w:t>
            </w:r>
            <w:r w:rsidRPr="00B8692A">
              <w:rPr>
                <w:rFonts w:cs="Arial"/>
              </w:rPr>
              <w:t>Zintegrowanego Systemu Kwalifikacji</w:t>
            </w:r>
          </w:p>
        </w:tc>
        <w:tc>
          <w:tcPr>
            <w:tcW w:w="2268" w:type="dxa"/>
          </w:tcPr>
          <w:p w14:paraId="669F067B" w14:textId="77777777" w:rsidR="0063751F" w:rsidRPr="00B8692A" w:rsidRDefault="0063751F" w:rsidP="0063751F">
            <w:pPr>
              <w:rPr>
                <w:rFonts w:cs="Arial"/>
              </w:rPr>
            </w:pPr>
            <w:r w:rsidRPr="00B8692A">
              <w:rPr>
                <w:rFonts w:cs="Arial"/>
              </w:rPr>
              <w:t xml:space="preserve">Realizuje program </w:t>
            </w:r>
          </w:p>
          <w:p w14:paraId="7DC895FD" w14:textId="77777777" w:rsidR="0063751F" w:rsidRDefault="0063751F" w:rsidP="00B8692A">
            <w:pPr>
              <w:rPr>
                <w:rFonts w:cs="Arial"/>
              </w:rPr>
            </w:pPr>
            <w:r w:rsidRPr="00B8692A">
              <w:rPr>
                <w:rFonts w:cs="Arial"/>
              </w:rPr>
              <w:t>imprezy turystycznej</w:t>
            </w:r>
          </w:p>
        </w:tc>
        <w:tc>
          <w:tcPr>
            <w:tcW w:w="2828" w:type="dxa"/>
          </w:tcPr>
          <w:p w14:paraId="132F0E0A" w14:textId="02774E5F" w:rsidR="0063751F" w:rsidRDefault="0063751F" w:rsidP="009E064E">
            <w:pPr>
              <w:pStyle w:val="Akapitzlist"/>
              <w:numPr>
                <w:ilvl w:val="0"/>
                <w:numId w:val="15"/>
              </w:numPr>
              <w:ind w:left="318"/>
              <w:rPr>
                <w:rFonts w:cs="Arial"/>
              </w:rPr>
            </w:pPr>
            <w:r w:rsidRPr="0063751F">
              <w:rPr>
                <w:rFonts w:cs="Arial"/>
              </w:rPr>
              <w:t>prezentuje informacje organizacyjne i</w:t>
            </w:r>
            <w:r w:rsidR="00E565CE">
              <w:rPr>
                <w:rFonts w:cs="Arial"/>
              </w:rPr>
              <w:t> </w:t>
            </w:r>
            <w:r w:rsidRPr="0063751F">
              <w:rPr>
                <w:rFonts w:cs="Arial"/>
              </w:rPr>
              <w:t>krajoznawcze adekwatne do programu i planu imprezy turystycznej zgodnie ze</w:t>
            </w:r>
            <w:r w:rsidR="00E565CE">
              <w:rPr>
                <w:rFonts w:cs="Arial"/>
              </w:rPr>
              <w:t> </w:t>
            </w:r>
            <w:r w:rsidRPr="0063751F">
              <w:rPr>
                <w:rFonts w:cs="Arial"/>
              </w:rPr>
              <w:t>sztuką prezentacji i</w:t>
            </w:r>
            <w:r w:rsidR="00E565CE">
              <w:rPr>
                <w:rFonts w:cs="Arial"/>
              </w:rPr>
              <w:t> </w:t>
            </w:r>
            <w:r w:rsidRPr="0063751F">
              <w:rPr>
                <w:rFonts w:cs="Arial"/>
              </w:rPr>
              <w:t xml:space="preserve">wystąpień publicznych; </w:t>
            </w:r>
          </w:p>
          <w:p w14:paraId="0F3A4451" w14:textId="5F7B9533" w:rsidR="0063751F" w:rsidRDefault="0063751F" w:rsidP="009E064E">
            <w:pPr>
              <w:pStyle w:val="Akapitzlist"/>
              <w:numPr>
                <w:ilvl w:val="0"/>
                <w:numId w:val="15"/>
              </w:numPr>
              <w:ind w:left="318"/>
              <w:rPr>
                <w:rFonts w:cs="Arial"/>
              </w:rPr>
            </w:pPr>
            <w:r w:rsidRPr="00F50E52">
              <w:rPr>
                <w:rFonts w:cs="Arial"/>
              </w:rPr>
              <w:t>prowadzi trasę imprezy turystycznej, stosując techniki pracy dostosowane do</w:t>
            </w:r>
            <w:r w:rsidR="00AD2F52">
              <w:rPr>
                <w:rFonts w:cs="Arial"/>
              </w:rPr>
              <w:t> </w:t>
            </w:r>
            <w:r w:rsidRPr="00F50E52">
              <w:rPr>
                <w:rFonts w:cs="Arial"/>
              </w:rPr>
              <w:t xml:space="preserve">uczestników oraz warunków otoczenia; </w:t>
            </w:r>
          </w:p>
          <w:p w14:paraId="495B911F" w14:textId="5F1E0A3B" w:rsidR="0063751F" w:rsidRDefault="0063751F" w:rsidP="009E064E">
            <w:pPr>
              <w:pStyle w:val="Akapitzlist"/>
              <w:numPr>
                <w:ilvl w:val="0"/>
                <w:numId w:val="15"/>
              </w:numPr>
              <w:ind w:left="318"/>
              <w:rPr>
                <w:rFonts w:cs="Arial"/>
              </w:rPr>
            </w:pPr>
            <w:r w:rsidRPr="00F50E52">
              <w:rPr>
                <w:rFonts w:cs="Arial"/>
              </w:rPr>
              <w:t>korzysta z materiałów kartograficznych, urządzeń do nawigacji i</w:t>
            </w:r>
            <w:r w:rsidR="00AD2F52">
              <w:rPr>
                <w:rFonts w:cs="Arial"/>
              </w:rPr>
              <w:t> </w:t>
            </w:r>
            <w:r w:rsidRPr="00F50E52">
              <w:rPr>
                <w:rFonts w:cs="Arial"/>
              </w:rPr>
              <w:t xml:space="preserve">systemów nagłośnienia; </w:t>
            </w:r>
          </w:p>
          <w:p w14:paraId="58DB26DB" w14:textId="7BBDBB88" w:rsidR="0063751F" w:rsidRDefault="0063751F" w:rsidP="009E064E">
            <w:pPr>
              <w:pStyle w:val="Akapitzlist"/>
              <w:numPr>
                <w:ilvl w:val="0"/>
                <w:numId w:val="15"/>
              </w:numPr>
              <w:ind w:left="318"/>
              <w:rPr>
                <w:rFonts w:cs="Arial"/>
              </w:rPr>
            </w:pPr>
            <w:r w:rsidRPr="00F50E52">
              <w:rPr>
                <w:rFonts w:cs="Arial"/>
              </w:rPr>
              <w:t>komunikuje się z</w:t>
            </w:r>
            <w:r w:rsidR="00AD2F52">
              <w:rPr>
                <w:rFonts w:cs="Arial"/>
              </w:rPr>
              <w:t> </w:t>
            </w:r>
            <w:r w:rsidRPr="00F50E52">
              <w:rPr>
                <w:rFonts w:cs="Arial"/>
              </w:rPr>
              <w:t>dostawcami usług świadczonych dla organizatora imprezy (np. kierowcami, lokalnymi przewodnikami, pracownikami obiektów noclegowych);</w:t>
            </w:r>
          </w:p>
          <w:p w14:paraId="6A6E7C2B" w14:textId="77777777" w:rsidR="0063751F" w:rsidRPr="00F50E52" w:rsidRDefault="0063751F" w:rsidP="009E064E">
            <w:pPr>
              <w:pStyle w:val="Akapitzlist"/>
              <w:numPr>
                <w:ilvl w:val="0"/>
                <w:numId w:val="15"/>
              </w:numPr>
              <w:ind w:left="318"/>
              <w:rPr>
                <w:rFonts w:cs="Arial"/>
              </w:rPr>
            </w:pPr>
            <w:r w:rsidRPr="00F50E52">
              <w:rPr>
                <w:rFonts w:cs="Arial"/>
              </w:rPr>
              <w:t>przekazuje dokumenty zgodnie z procedurami organizatora imprezy turystycznej.</w:t>
            </w:r>
          </w:p>
        </w:tc>
      </w:tr>
      <w:tr w:rsidR="00F50E52" w14:paraId="70E03EC1" w14:textId="77777777" w:rsidTr="00F50E52">
        <w:tc>
          <w:tcPr>
            <w:tcW w:w="1980" w:type="dxa"/>
            <w:vMerge w:val="restart"/>
          </w:tcPr>
          <w:p w14:paraId="0A46E219" w14:textId="53BE55D1" w:rsidR="00F50E52" w:rsidRDefault="00F50E52" w:rsidP="00B8692A">
            <w:pPr>
              <w:rPr>
                <w:rFonts w:cs="Arial"/>
              </w:rPr>
            </w:pPr>
            <w:r w:rsidRPr="00B8692A">
              <w:rPr>
                <w:rFonts w:cs="Arial"/>
              </w:rPr>
              <w:t>Praca z dzieckiem metodą Marii Montessori</w:t>
            </w:r>
          </w:p>
        </w:tc>
        <w:tc>
          <w:tcPr>
            <w:tcW w:w="1984" w:type="dxa"/>
            <w:vMerge w:val="restart"/>
          </w:tcPr>
          <w:p w14:paraId="66E7CBD7" w14:textId="13C2E4A2" w:rsidR="00F50E52" w:rsidRDefault="00F50E52" w:rsidP="00B8692A">
            <w:pPr>
              <w:rPr>
                <w:rFonts w:cs="Arial"/>
              </w:rPr>
            </w:pPr>
            <w:r w:rsidRPr="00B8692A">
              <w:rPr>
                <w:rFonts w:cs="Arial"/>
              </w:rPr>
              <w:t>Obwieszczenie Ministra Edukacji Narodowej z dnia 31 października 2018 r. w sprawie włączenia kwalifikacji rynkowej „Praca z</w:t>
            </w:r>
            <w:r w:rsidR="00AD2F52">
              <w:rPr>
                <w:rFonts w:cs="Arial"/>
              </w:rPr>
              <w:t> </w:t>
            </w:r>
            <w:r w:rsidRPr="00B8692A">
              <w:rPr>
                <w:rFonts w:cs="Arial"/>
              </w:rPr>
              <w:t>dzieckiem metodą Marii Montessori” do</w:t>
            </w:r>
            <w:r w:rsidR="00AD2F52">
              <w:rPr>
                <w:rFonts w:cs="Arial"/>
              </w:rPr>
              <w:t> </w:t>
            </w:r>
            <w:r w:rsidRPr="00B8692A">
              <w:rPr>
                <w:rFonts w:cs="Arial"/>
              </w:rPr>
              <w:t>Zintegrowanego Systemu Kwalifikacji</w:t>
            </w:r>
          </w:p>
        </w:tc>
        <w:tc>
          <w:tcPr>
            <w:tcW w:w="2268" w:type="dxa"/>
          </w:tcPr>
          <w:p w14:paraId="6583F2CF" w14:textId="77777777" w:rsidR="00F50E52" w:rsidRDefault="00F50E52" w:rsidP="00B8692A">
            <w:pPr>
              <w:rPr>
                <w:rFonts w:cs="Arial"/>
              </w:rPr>
            </w:pPr>
            <w:r w:rsidRPr="00B8692A">
              <w:rPr>
                <w:rFonts w:cs="Arial"/>
              </w:rPr>
              <w:t>Charakteryzuje zasady pracy własnej</w:t>
            </w:r>
          </w:p>
        </w:tc>
        <w:tc>
          <w:tcPr>
            <w:tcW w:w="2828" w:type="dxa"/>
          </w:tcPr>
          <w:p w14:paraId="1206EB22" w14:textId="0F286ECC" w:rsidR="00F50E52" w:rsidRDefault="00F50E52" w:rsidP="009E064E">
            <w:pPr>
              <w:pStyle w:val="Akapitzlist"/>
              <w:numPr>
                <w:ilvl w:val="0"/>
                <w:numId w:val="16"/>
              </w:numPr>
              <w:ind w:left="315"/>
              <w:rPr>
                <w:rFonts w:cs="Arial"/>
              </w:rPr>
            </w:pPr>
            <w:r w:rsidRPr="00F50E52">
              <w:rPr>
                <w:rFonts w:cs="Arial"/>
              </w:rPr>
              <w:t>wymienia zasady pracy własnej (w tym zasada swobodnego wyboru pomocy, czasu i miejsca pracy, zasada pracy w</w:t>
            </w:r>
            <w:r w:rsidR="00227664">
              <w:rPr>
                <w:rFonts w:cs="Arial"/>
              </w:rPr>
              <w:t> </w:t>
            </w:r>
            <w:r w:rsidRPr="00F50E52">
              <w:rPr>
                <w:rFonts w:cs="Arial"/>
              </w:rPr>
              <w:t xml:space="preserve">ciszy, zasada porządku, zasada możliwości współpracy, zasada transferu); </w:t>
            </w:r>
          </w:p>
          <w:p w14:paraId="2E773B76" w14:textId="388F1558" w:rsidR="00F50E52" w:rsidRDefault="00F50E52" w:rsidP="009E064E">
            <w:pPr>
              <w:pStyle w:val="Akapitzlist"/>
              <w:numPr>
                <w:ilvl w:val="0"/>
                <w:numId w:val="16"/>
              </w:numPr>
              <w:ind w:left="315"/>
              <w:rPr>
                <w:rFonts w:cs="Arial"/>
              </w:rPr>
            </w:pPr>
            <w:r w:rsidRPr="00F50E52">
              <w:rPr>
                <w:rFonts w:cs="Arial"/>
              </w:rPr>
              <w:t>wyjaśnia znaczenie przyjętych zasad w</w:t>
            </w:r>
            <w:r w:rsidR="00227664">
              <w:rPr>
                <w:rFonts w:cs="Arial"/>
              </w:rPr>
              <w:t> </w:t>
            </w:r>
            <w:r w:rsidRPr="00F50E52">
              <w:rPr>
                <w:rFonts w:cs="Arial"/>
              </w:rPr>
              <w:t xml:space="preserve">kontekście założeń metody Marii Montessori; </w:t>
            </w:r>
          </w:p>
          <w:p w14:paraId="2F30FBFA" w14:textId="61C609A9" w:rsidR="00F50E52" w:rsidRDefault="00F50E52" w:rsidP="009E064E">
            <w:pPr>
              <w:pStyle w:val="Akapitzlist"/>
              <w:numPr>
                <w:ilvl w:val="0"/>
                <w:numId w:val="16"/>
              </w:numPr>
              <w:ind w:left="315"/>
              <w:rPr>
                <w:rFonts w:cs="Arial"/>
              </w:rPr>
            </w:pPr>
            <w:r w:rsidRPr="00F50E52">
              <w:rPr>
                <w:rFonts w:cs="Arial"/>
              </w:rPr>
              <w:t>podaje przykłady wprowadzania i</w:t>
            </w:r>
            <w:r w:rsidR="00227664">
              <w:rPr>
                <w:rFonts w:cs="Arial"/>
              </w:rPr>
              <w:t> </w:t>
            </w:r>
            <w:r w:rsidRPr="00F50E52">
              <w:rPr>
                <w:rFonts w:cs="Arial"/>
              </w:rPr>
              <w:t>realizowania zasad w</w:t>
            </w:r>
            <w:r w:rsidR="001D5485">
              <w:rPr>
                <w:rFonts w:cs="Arial"/>
              </w:rPr>
              <w:t> </w:t>
            </w:r>
            <w:r w:rsidRPr="00F50E52">
              <w:rPr>
                <w:rFonts w:cs="Arial"/>
              </w:rPr>
              <w:t>czasie pracy własnej na</w:t>
            </w:r>
            <w:r w:rsidR="00227664">
              <w:rPr>
                <w:rFonts w:cs="Arial"/>
              </w:rPr>
              <w:t> </w:t>
            </w:r>
            <w:r w:rsidRPr="00F50E52">
              <w:rPr>
                <w:rFonts w:cs="Arial"/>
              </w:rPr>
              <w:t xml:space="preserve">podstawie przeprowadzonej obserwacji pracy jednego dziecka, pracy nauczyciela, dynamiki pracy grupy, pracy grupy dzieci z materiałem; </w:t>
            </w:r>
          </w:p>
          <w:p w14:paraId="053F850F" w14:textId="54F7A01F" w:rsidR="00F50E52" w:rsidRPr="00F50E52" w:rsidRDefault="00F50E52" w:rsidP="009E064E">
            <w:pPr>
              <w:pStyle w:val="Akapitzlist"/>
              <w:numPr>
                <w:ilvl w:val="0"/>
                <w:numId w:val="16"/>
              </w:numPr>
              <w:ind w:left="315"/>
              <w:rPr>
                <w:rFonts w:cs="Arial"/>
              </w:rPr>
            </w:pPr>
            <w:r w:rsidRPr="00F50E52">
              <w:rPr>
                <w:rFonts w:cs="Arial"/>
              </w:rPr>
              <w:t>podaje praktyczne rozwiązania wykorzystania i</w:t>
            </w:r>
            <w:r w:rsidR="00227664">
              <w:rPr>
                <w:rFonts w:cs="Arial"/>
              </w:rPr>
              <w:t> </w:t>
            </w:r>
            <w:r w:rsidRPr="00F50E52">
              <w:rPr>
                <w:rFonts w:cs="Arial"/>
              </w:rPr>
              <w:t>wprowadzania założeń pedagogiki Marii Montessori.</w:t>
            </w:r>
          </w:p>
        </w:tc>
      </w:tr>
      <w:tr w:rsidR="00F50E52" w14:paraId="383EF3F3" w14:textId="77777777" w:rsidTr="00F50E52">
        <w:tc>
          <w:tcPr>
            <w:tcW w:w="1980" w:type="dxa"/>
            <w:vMerge/>
          </w:tcPr>
          <w:p w14:paraId="65D455B1" w14:textId="77777777" w:rsidR="00F50E52" w:rsidRDefault="00F50E52" w:rsidP="00B8692A">
            <w:pPr>
              <w:rPr>
                <w:rFonts w:cs="Arial"/>
              </w:rPr>
            </w:pPr>
          </w:p>
        </w:tc>
        <w:tc>
          <w:tcPr>
            <w:tcW w:w="1984" w:type="dxa"/>
            <w:vMerge/>
          </w:tcPr>
          <w:p w14:paraId="1DE85094" w14:textId="77777777" w:rsidR="00F50E52" w:rsidRDefault="00F50E52" w:rsidP="00B8692A">
            <w:pPr>
              <w:rPr>
                <w:rFonts w:cs="Arial"/>
              </w:rPr>
            </w:pPr>
          </w:p>
        </w:tc>
        <w:tc>
          <w:tcPr>
            <w:tcW w:w="2268" w:type="dxa"/>
          </w:tcPr>
          <w:p w14:paraId="7467F91B" w14:textId="77777777" w:rsidR="00F50E52" w:rsidRDefault="00F50E52" w:rsidP="00B8692A">
            <w:pPr>
              <w:rPr>
                <w:rFonts w:cs="Arial"/>
              </w:rPr>
            </w:pPr>
            <w:r w:rsidRPr="00B8692A">
              <w:rPr>
                <w:rFonts w:cs="Arial"/>
              </w:rPr>
              <w:t>Charakteryzuje zasady “przygotowanego otoczenia”</w:t>
            </w:r>
          </w:p>
        </w:tc>
        <w:tc>
          <w:tcPr>
            <w:tcW w:w="2828" w:type="dxa"/>
          </w:tcPr>
          <w:p w14:paraId="53CC7B9D" w14:textId="77777777" w:rsidR="00F50E52" w:rsidRDefault="00F50E52" w:rsidP="009E064E">
            <w:pPr>
              <w:pStyle w:val="Akapitzlist"/>
              <w:numPr>
                <w:ilvl w:val="0"/>
                <w:numId w:val="17"/>
              </w:numPr>
              <w:ind w:left="315"/>
              <w:rPr>
                <w:rFonts w:cs="Arial"/>
              </w:rPr>
            </w:pPr>
            <w:r w:rsidRPr="00F50E52">
              <w:rPr>
                <w:rFonts w:cs="Arial"/>
              </w:rPr>
              <w:t xml:space="preserve">wymienia i objaśnia aspekty przygotowanego otoczenia (aspekt: osobowy, przedmiotowy, strukturalno-dynamiczny); </w:t>
            </w:r>
          </w:p>
          <w:p w14:paraId="66AF2B25" w14:textId="12A6004B" w:rsidR="00F50E52" w:rsidRDefault="00F50E52" w:rsidP="009E064E">
            <w:pPr>
              <w:pStyle w:val="Akapitzlist"/>
              <w:numPr>
                <w:ilvl w:val="0"/>
                <w:numId w:val="17"/>
              </w:numPr>
              <w:ind w:left="315"/>
              <w:rPr>
                <w:rFonts w:cs="Arial"/>
              </w:rPr>
            </w:pPr>
            <w:r w:rsidRPr="00F50E52">
              <w:rPr>
                <w:rFonts w:cs="Arial"/>
              </w:rPr>
              <w:t>na podstawie przeprowadzonej obserwacji podaje przykłady organizacji przestrzeni uwzględniające aspekt osobowy i aspekt przedmiotowy w</w:t>
            </w:r>
            <w:r w:rsidR="00227664">
              <w:rPr>
                <w:rFonts w:cs="Arial"/>
              </w:rPr>
              <w:t> </w:t>
            </w:r>
            <w:r w:rsidRPr="00F50E52">
              <w:rPr>
                <w:rFonts w:cs="Arial"/>
              </w:rPr>
              <w:t>odniesieniu do</w:t>
            </w:r>
            <w:r w:rsidR="00227664">
              <w:rPr>
                <w:rFonts w:cs="Arial"/>
              </w:rPr>
              <w:t> </w:t>
            </w:r>
            <w:r w:rsidRPr="00F50E52">
              <w:rPr>
                <w:rFonts w:cs="Arial"/>
              </w:rPr>
              <w:t xml:space="preserve">koncepcji Montessori; </w:t>
            </w:r>
          </w:p>
          <w:p w14:paraId="691726F8" w14:textId="77777777" w:rsidR="00F50E52" w:rsidRPr="00F50E52" w:rsidRDefault="00F50E52" w:rsidP="009E064E">
            <w:pPr>
              <w:pStyle w:val="Akapitzlist"/>
              <w:numPr>
                <w:ilvl w:val="0"/>
                <w:numId w:val="17"/>
              </w:numPr>
              <w:ind w:left="315"/>
              <w:rPr>
                <w:rFonts w:cs="Arial"/>
              </w:rPr>
            </w:pPr>
            <w:r w:rsidRPr="00F50E52">
              <w:rPr>
                <w:rFonts w:cs="Arial"/>
              </w:rPr>
              <w:t>podaje przykład transferu przygotowanego otoczenia na świat zewnętrzny.</w:t>
            </w:r>
          </w:p>
        </w:tc>
      </w:tr>
      <w:tr w:rsidR="0063751F" w14:paraId="7084FBF2" w14:textId="77777777" w:rsidTr="00F50E52">
        <w:tc>
          <w:tcPr>
            <w:tcW w:w="1980" w:type="dxa"/>
          </w:tcPr>
          <w:p w14:paraId="622194C8" w14:textId="3CE02086" w:rsidR="00F50E52" w:rsidRPr="00B8692A" w:rsidRDefault="00F50E52" w:rsidP="00227664">
            <w:pPr>
              <w:rPr>
                <w:rFonts w:cs="Arial"/>
              </w:rPr>
            </w:pPr>
            <w:r w:rsidRPr="00B8692A">
              <w:rPr>
                <w:rFonts w:cs="Arial"/>
              </w:rPr>
              <w:t>Serwis napojów mieszanych i</w:t>
            </w:r>
            <w:r w:rsidR="00227664">
              <w:rPr>
                <w:rFonts w:cs="Arial"/>
              </w:rPr>
              <w:t> </w:t>
            </w:r>
            <w:r w:rsidRPr="00B8692A">
              <w:rPr>
                <w:rFonts w:cs="Arial"/>
              </w:rPr>
              <w:t>alkoholi</w:t>
            </w:r>
          </w:p>
          <w:p w14:paraId="3D559EE3" w14:textId="77777777" w:rsidR="0063751F" w:rsidRDefault="0063751F" w:rsidP="00B8692A">
            <w:pPr>
              <w:rPr>
                <w:rFonts w:cs="Arial"/>
              </w:rPr>
            </w:pPr>
          </w:p>
        </w:tc>
        <w:tc>
          <w:tcPr>
            <w:tcW w:w="1984" w:type="dxa"/>
          </w:tcPr>
          <w:p w14:paraId="18BD4954" w14:textId="7CC75DAA" w:rsidR="00F50E52" w:rsidRDefault="00F50E52" w:rsidP="0036409A">
            <w:pPr>
              <w:rPr>
                <w:rFonts w:cs="Arial"/>
              </w:rPr>
            </w:pPr>
            <w:r w:rsidRPr="00B8692A">
              <w:rPr>
                <w:rFonts w:cs="Arial"/>
              </w:rPr>
              <w:t>Obwieszczenie Ministra Sportu i</w:t>
            </w:r>
            <w:r w:rsidR="00227664">
              <w:rPr>
                <w:rFonts w:cs="Arial"/>
              </w:rPr>
              <w:t> </w:t>
            </w:r>
            <w:r w:rsidRPr="00B8692A">
              <w:rPr>
                <w:rFonts w:cs="Arial"/>
              </w:rPr>
              <w:t>Turystyki z dnia 13</w:t>
            </w:r>
            <w:r w:rsidR="00227664">
              <w:rPr>
                <w:rFonts w:cs="Arial"/>
              </w:rPr>
              <w:t> </w:t>
            </w:r>
            <w:r w:rsidRPr="00B8692A">
              <w:rPr>
                <w:rFonts w:cs="Arial"/>
              </w:rPr>
              <w:t>grudnia 2018 r. w sprawie włączenia kwalifikacji rynkowej „Serwis napojów mieszanych i</w:t>
            </w:r>
            <w:r w:rsidR="002976AC">
              <w:rPr>
                <w:rFonts w:cs="Arial"/>
              </w:rPr>
              <w:t> </w:t>
            </w:r>
            <w:r w:rsidRPr="00B8692A">
              <w:rPr>
                <w:rFonts w:cs="Arial"/>
              </w:rPr>
              <w:t>alkoholi” do</w:t>
            </w:r>
            <w:r w:rsidR="002976AC">
              <w:rPr>
                <w:rFonts w:cs="Arial"/>
              </w:rPr>
              <w:t> </w:t>
            </w:r>
            <w:r w:rsidRPr="00B8692A">
              <w:rPr>
                <w:rFonts w:cs="Arial"/>
              </w:rPr>
              <w:t>Zintegrowanego</w:t>
            </w:r>
            <w:r w:rsidR="0036409A">
              <w:rPr>
                <w:rFonts w:cs="Arial"/>
              </w:rPr>
              <w:t xml:space="preserve"> </w:t>
            </w:r>
            <w:r w:rsidRPr="00B8692A">
              <w:rPr>
                <w:rFonts w:cs="Arial"/>
              </w:rPr>
              <w:t>Systemu Kwalifikacji</w:t>
            </w:r>
          </w:p>
        </w:tc>
        <w:tc>
          <w:tcPr>
            <w:tcW w:w="2268" w:type="dxa"/>
          </w:tcPr>
          <w:p w14:paraId="30B2CD58" w14:textId="04B283EC" w:rsidR="0063751F" w:rsidRDefault="00F50E52" w:rsidP="00B8692A">
            <w:pPr>
              <w:rPr>
                <w:rFonts w:cs="Arial"/>
              </w:rPr>
            </w:pPr>
            <w:r w:rsidRPr="00B8692A">
              <w:rPr>
                <w:rFonts w:cs="Arial"/>
              </w:rPr>
              <w:t xml:space="preserve">Przygotowuje drobne przekąski </w:t>
            </w:r>
          </w:p>
        </w:tc>
        <w:tc>
          <w:tcPr>
            <w:tcW w:w="2828" w:type="dxa"/>
          </w:tcPr>
          <w:p w14:paraId="567C7ACA" w14:textId="5B58F530" w:rsidR="00F50E52" w:rsidRDefault="00F50E52" w:rsidP="009E064E">
            <w:pPr>
              <w:pStyle w:val="Akapitzlist"/>
              <w:numPr>
                <w:ilvl w:val="0"/>
                <w:numId w:val="18"/>
              </w:numPr>
              <w:ind w:left="315"/>
              <w:rPr>
                <w:rFonts w:cs="Arial"/>
              </w:rPr>
            </w:pPr>
            <w:r w:rsidRPr="00F50E52">
              <w:rPr>
                <w:rFonts w:cs="Arial"/>
              </w:rPr>
              <w:t>przygotowuje przykładową zimną przekąskę z dbałością o</w:t>
            </w:r>
            <w:r w:rsidR="001D5485">
              <w:rPr>
                <w:rFonts w:cs="Arial"/>
              </w:rPr>
              <w:t> </w:t>
            </w:r>
            <w:r w:rsidRPr="00F50E52">
              <w:rPr>
                <w:rFonts w:cs="Arial"/>
              </w:rPr>
              <w:t xml:space="preserve">estetykę serwowania, np. tartinki, koreczki, roladki; </w:t>
            </w:r>
          </w:p>
          <w:p w14:paraId="362CD21A" w14:textId="21F93497" w:rsidR="0063751F" w:rsidRPr="002976AC" w:rsidRDefault="00F50E52" w:rsidP="009E064E">
            <w:pPr>
              <w:pStyle w:val="Akapitzlist"/>
              <w:numPr>
                <w:ilvl w:val="0"/>
                <w:numId w:val="18"/>
              </w:numPr>
              <w:ind w:left="315"/>
              <w:rPr>
                <w:rFonts w:cs="Arial"/>
              </w:rPr>
            </w:pPr>
            <w:r w:rsidRPr="00F50E52">
              <w:rPr>
                <w:rFonts w:cs="Arial"/>
              </w:rPr>
              <w:t>serwuje wybrane przekąski w barze.</w:t>
            </w:r>
          </w:p>
        </w:tc>
      </w:tr>
      <w:tr w:rsidR="00F50E52" w14:paraId="22622CC0" w14:textId="77777777" w:rsidTr="00F50E52">
        <w:tc>
          <w:tcPr>
            <w:tcW w:w="1980" w:type="dxa"/>
          </w:tcPr>
          <w:p w14:paraId="38C269AD" w14:textId="36280D96" w:rsidR="00F50E52" w:rsidRPr="00B8692A" w:rsidRDefault="00F50E52" w:rsidP="00F50E52">
            <w:pPr>
              <w:rPr>
                <w:rFonts w:cs="Arial"/>
              </w:rPr>
            </w:pPr>
            <w:r w:rsidRPr="00B8692A">
              <w:rPr>
                <w:rFonts w:cs="Arial"/>
              </w:rPr>
              <w:t>Montaż i</w:t>
            </w:r>
            <w:r w:rsidR="002976AC">
              <w:rPr>
                <w:rFonts w:cs="Arial"/>
              </w:rPr>
              <w:t> </w:t>
            </w:r>
            <w:r w:rsidRPr="00B8692A">
              <w:rPr>
                <w:rFonts w:cs="Arial"/>
              </w:rPr>
              <w:t>konserwacja autonomicznych czujek: tlenku węgla, dymu, ciepła i gazu</w:t>
            </w:r>
          </w:p>
          <w:p w14:paraId="155CE7F1" w14:textId="77777777" w:rsidR="00F50E52" w:rsidRPr="00B8692A" w:rsidRDefault="00F50E52" w:rsidP="00F50E52">
            <w:pPr>
              <w:rPr>
                <w:rFonts w:cs="Arial"/>
              </w:rPr>
            </w:pPr>
          </w:p>
        </w:tc>
        <w:tc>
          <w:tcPr>
            <w:tcW w:w="1984" w:type="dxa"/>
          </w:tcPr>
          <w:p w14:paraId="283AD714" w14:textId="4FA19005" w:rsidR="00F50E52" w:rsidRPr="00B8692A" w:rsidRDefault="00F50E52" w:rsidP="00F50E52">
            <w:pPr>
              <w:rPr>
                <w:rFonts w:cs="Arial"/>
              </w:rPr>
            </w:pPr>
            <w:r w:rsidRPr="00B8692A">
              <w:rPr>
                <w:rFonts w:cs="Arial"/>
              </w:rPr>
              <w:t>Obwieszczenie Ministra Spraw Wewnętrznych i</w:t>
            </w:r>
            <w:r w:rsidR="002976AC">
              <w:rPr>
                <w:rFonts w:cs="Arial"/>
              </w:rPr>
              <w:t> </w:t>
            </w:r>
            <w:r w:rsidRPr="00B8692A">
              <w:rPr>
                <w:rFonts w:cs="Arial"/>
              </w:rPr>
              <w:t>Administracji z dnia 7 maja 2019 r. w sprawie włączenia kwalifikacji rynkowych dotyczących projektowania, montażu i konserwacji zabezpieczeń przeciwpożarowych oraz montażu i</w:t>
            </w:r>
            <w:r w:rsidR="002976AC">
              <w:rPr>
                <w:rFonts w:cs="Arial"/>
              </w:rPr>
              <w:t> </w:t>
            </w:r>
            <w:r w:rsidRPr="00B8692A">
              <w:rPr>
                <w:rFonts w:cs="Arial"/>
              </w:rPr>
              <w:t>konserwacji autonomicznych czujek: tlenku węgla, dymu, ciepła i gazu do</w:t>
            </w:r>
            <w:r w:rsidR="00E61FFF">
              <w:rPr>
                <w:rFonts w:cs="Arial"/>
              </w:rPr>
              <w:t> </w:t>
            </w:r>
            <w:r w:rsidRPr="00B8692A">
              <w:rPr>
                <w:rFonts w:cs="Arial"/>
              </w:rPr>
              <w:t>Zintegrowanego Systemu Kwalifikacji</w:t>
            </w:r>
          </w:p>
          <w:p w14:paraId="7459DB86" w14:textId="77777777" w:rsidR="00F50E52" w:rsidRPr="00B8692A" w:rsidRDefault="00F50E52" w:rsidP="00B8692A">
            <w:pPr>
              <w:rPr>
                <w:rFonts w:cs="Arial"/>
              </w:rPr>
            </w:pPr>
          </w:p>
        </w:tc>
        <w:tc>
          <w:tcPr>
            <w:tcW w:w="2268" w:type="dxa"/>
          </w:tcPr>
          <w:p w14:paraId="3647ABE6" w14:textId="77777777" w:rsidR="00F50E52" w:rsidRPr="00B8692A" w:rsidRDefault="00F50E52" w:rsidP="00B8692A">
            <w:pPr>
              <w:rPr>
                <w:rFonts w:cs="Arial"/>
              </w:rPr>
            </w:pPr>
            <w:r w:rsidRPr="00B8692A">
              <w:rPr>
                <w:rFonts w:cs="Arial"/>
              </w:rPr>
              <w:t>Montuje i konserwuje autonomiczną czujkę tlenku węgla</w:t>
            </w:r>
          </w:p>
        </w:tc>
        <w:tc>
          <w:tcPr>
            <w:tcW w:w="2828" w:type="dxa"/>
          </w:tcPr>
          <w:p w14:paraId="769A7915" w14:textId="5EC2BEA6" w:rsidR="00F50E52" w:rsidRDefault="00F50E52" w:rsidP="009E064E">
            <w:pPr>
              <w:pStyle w:val="Akapitzlist"/>
              <w:numPr>
                <w:ilvl w:val="0"/>
                <w:numId w:val="19"/>
              </w:numPr>
              <w:ind w:left="315"/>
              <w:rPr>
                <w:rFonts w:cs="Arial"/>
              </w:rPr>
            </w:pPr>
            <w:r w:rsidRPr="00F50E52">
              <w:rPr>
                <w:rFonts w:cs="Arial"/>
              </w:rPr>
              <w:t>sprawdza prawidłowość zamówienia w czasie wizji lokalnej pod</w:t>
            </w:r>
            <w:r w:rsidR="002976AC">
              <w:rPr>
                <w:rFonts w:cs="Arial"/>
              </w:rPr>
              <w:t> </w:t>
            </w:r>
            <w:r w:rsidRPr="00F50E52">
              <w:rPr>
                <w:rFonts w:cs="Arial"/>
              </w:rPr>
              <w:t xml:space="preserve">względem występujących źródeł zagrożeń; </w:t>
            </w:r>
          </w:p>
          <w:p w14:paraId="1F24155D" w14:textId="77777777" w:rsidR="00F50E52" w:rsidRDefault="00F50E52" w:rsidP="009E064E">
            <w:pPr>
              <w:pStyle w:val="Akapitzlist"/>
              <w:numPr>
                <w:ilvl w:val="0"/>
                <w:numId w:val="19"/>
              </w:numPr>
              <w:ind w:left="315"/>
              <w:rPr>
                <w:rFonts w:cs="Arial"/>
              </w:rPr>
            </w:pPr>
            <w:r w:rsidRPr="00F50E52">
              <w:rPr>
                <w:rFonts w:cs="Arial"/>
              </w:rPr>
              <w:t>ustala lokalizację montażu czujek;</w:t>
            </w:r>
          </w:p>
          <w:p w14:paraId="465458A4" w14:textId="77777777" w:rsidR="00F50E52" w:rsidRDefault="00F50E52" w:rsidP="009E064E">
            <w:pPr>
              <w:pStyle w:val="Akapitzlist"/>
              <w:numPr>
                <w:ilvl w:val="0"/>
                <w:numId w:val="19"/>
              </w:numPr>
              <w:ind w:left="315"/>
              <w:rPr>
                <w:rFonts w:cs="Arial"/>
              </w:rPr>
            </w:pPr>
            <w:r w:rsidRPr="00F50E52">
              <w:rPr>
                <w:rFonts w:cs="Arial"/>
              </w:rPr>
              <w:t xml:space="preserve">przygotowuje czujkę do pracy, w tym przeprowadza test czujki; </w:t>
            </w:r>
          </w:p>
          <w:p w14:paraId="2CD96CD6" w14:textId="77777777" w:rsidR="00F50E52" w:rsidRDefault="00F50E52" w:rsidP="009E064E">
            <w:pPr>
              <w:pStyle w:val="Akapitzlist"/>
              <w:numPr>
                <w:ilvl w:val="0"/>
                <w:numId w:val="19"/>
              </w:numPr>
              <w:ind w:left="315"/>
              <w:rPr>
                <w:rFonts w:cs="Arial"/>
              </w:rPr>
            </w:pPr>
            <w:r w:rsidRPr="00F50E52">
              <w:rPr>
                <w:rFonts w:cs="Arial"/>
              </w:rPr>
              <w:t xml:space="preserve">montuje czujkę; </w:t>
            </w:r>
          </w:p>
          <w:p w14:paraId="2C311EBE" w14:textId="67DBCA3D" w:rsidR="00F50E52" w:rsidRDefault="00F50E52" w:rsidP="009E064E">
            <w:pPr>
              <w:pStyle w:val="Akapitzlist"/>
              <w:numPr>
                <w:ilvl w:val="0"/>
                <w:numId w:val="19"/>
              </w:numPr>
              <w:ind w:left="315"/>
              <w:rPr>
                <w:rFonts w:cs="Arial"/>
              </w:rPr>
            </w:pPr>
            <w:r w:rsidRPr="00F50E52">
              <w:rPr>
                <w:rFonts w:cs="Arial"/>
              </w:rPr>
              <w:t>instruuje użytkownika o</w:t>
            </w:r>
            <w:r w:rsidR="002976AC">
              <w:rPr>
                <w:rFonts w:cs="Arial"/>
              </w:rPr>
              <w:t> </w:t>
            </w:r>
            <w:r w:rsidRPr="00F50E52">
              <w:rPr>
                <w:rFonts w:cs="Arial"/>
              </w:rPr>
              <w:t>postępowaniu w sytuacji alarmu wywołanego przez czujkę: otwarcie drzwi i</w:t>
            </w:r>
            <w:r w:rsidR="00E61FFF">
              <w:rPr>
                <w:rFonts w:cs="Arial"/>
              </w:rPr>
              <w:t> </w:t>
            </w:r>
            <w:r w:rsidRPr="00F50E52">
              <w:rPr>
                <w:rFonts w:cs="Arial"/>
              </w:rPr>
              <w:t>okien, ewakuacja, wezwanie pomocy, wezwanie serwisu do</w:t>
            </w:r>
            <w:r w:rsidR="00E61FFF">
              <w:rPr>
                <w:rFonts w:cs="Arial"/>
              </w:rPr>
              <w:t> </w:t>
            </w:r>
            <w:r w:rsidRPr="00F50E52">
              <w:rPr>
                <w:rFonts w:cs="Arial"/>
              </w:rPr>
              <w:t>urządzenia będącego przyczyną alarmu;</w:t>
            </w:r>
          </w:p>
          <w:p w14:paraId="7375200F" w14:textId="77777777" w:rsidR="00F50E52" w:rsidRDefault="00F50E52" w:rsidP="009E064E">
            <w:pPr>
              <w:pStyle w:val="Akapitzlist"/>
              <w:numPr>
                <w:ilvl w:val="0"/>
                <w:numId w:val="19"/>
              </w:numPr>
              <w:ind w:left="315"/>
              <w:rPr>
                <w:rFonts w:cs="Arial"/>
              </w:rPr>
            </w:pPr>
            <w:r w:rsidRPr="00F50E52">
              <w:rPr>
                <w:rFonts w:cs="Arial"/>
              </w:rPr>
              <w:t xml:space="preserve">opisuje możliwe zakłócenia pracy czujki; </w:t>
            </w:r>
          </w:p>
          <w:p w14:paraId="6F5BD2C3" w14:textId="1A2CD36B" w:rsidR="00F50E52" w:rsidRDefault="00F50E52" w:rsidP="009E064E">
            <w:pPr>
              <w:pStyle w:val="Akapitzlist"/>
              <w:numPr>
                <w:ilvl w:val="0"/>
                <w:numId w:val="19"/>
              </w:numPr>
              <w:ind w:left="315"/>
              <w:rPr>
                <w:rFonts w:cs="Arial"/>
              </w:rPr>
            </w:pPr>
            <w:r w:rsidRPr="00F50E52">
              <w:rPr>
                <w:rFonts w:cs="Arial"/>
              </w:rPr>
              <w:t>instruuje użytkownika o</w:t>
            </w:r>
            <w:r w:rsidR="001D5485">
              <w:rPr>
                <w:rFonts w:cs="Arial"/>
              </w:rPr>
              <w:t> </w:t>
            </w:r>
            <w:r w:rsidRPr="00F50E52">
              <w:rPr>
                <w:rFonts w:cs="Arial"/>
              </w:rPr>
              <w:t>zasadach prawidłowej eksploatacji, w tym sprawdzenia gotowości i</w:t>
            </w:r>
            <w:r w:rsidR="001D5485">
              <w:rPr>
                <w:rFonts w:cs="Arial"/>
              </w:rPr>
              <w:t> </w:t>
            </w:r>
            <w:r w:rsidRPr="00F50E52">
              <w:rPr>
                <w:rFonts w:cs="Arial"/>
              </w:rPr>
              <w:t xml:space="preserve">konserwacji czujki; </w:t>
            </w:r>
          </w:p>
          <w:p w14:paraId="30B171A9" w14:textId="3F00E8AD" w:rsidR="00F50E52" w:rsidRPr="00F50E52" w:rsidRDefault="00F50E52" w:rsidP="009E064E">
            <w:pPr>
              <w:pStyle w:val="Akapitzlist"/>
              <w:numPr>
                <w:ilvl w:val="0"/>
                <w:numId w:val="19"/>
              </w:numPr>
              <w:ind w:left="315"/>
              <w:rPr>
                <w:rFonts w:cs="Arial"/>
              </w:rPr>
            </w:pPr>
            <w:r w:rsidRPr="00F50E52">
              <w:rPr>
                <w:rFonts w:cs="Arial"/>
              </w:rPr>
              <w:t>omawia czynności niezbędne dla</w:t>
            </w:r>
            <w:r w:rsidR="00E61FFF">
              <w:rPr>
                <w:rFonts w:cs="Arial"/>
              </w:rPr>
              <w:t> </w:t>
            </w:r>
            <w:r w:rsidRPr="00F50E52">
              <w:rPr>
                <w:rFonts w:cs="Arial"/>
              </w:rPr>
              <w:t>prawidłowej konserwacji czujki.</w:t>
            </w:r>
          </w:p>
        </w:tc>
      </w:tr>
      <w:tr w:rsidR="00F50E52" w14:paraId="1BBC6C37" w14:textId="77777777" w:rsidTr="00F50E52">
        <w:tc>
          <w:tcPr>
            <w:tcW w:w="1980" w:type="dxa"/>
          </w:tcPr>
          <w:p w14:paraId="6F341DA9" w14:textId="20EB0C4B" w:rsidR="00F50E52" w:rsidRPr="00B8692A" w:rsidRDefault="00F50E52" w:rsidP="00E61FFF">
            <w:pPr>
              <w:rPr>
                <w:rFonts w:cs="Arial"/>
              </w:rPr>
            </w:pPr>
            <w:r w:rsidRPr="00B8692A">
              <w:rPr>
                <w:rFonts w:cs="Arial"/>
              </w:rPr>
              <w:t>Prowadzenie procesu szkolenia zaawansowanego w tenisie stołowym</w:t>
            </w:r>
          </w:p>
        </w:tc>
        <w:tc>
          <w:tcPr>
            <w:tcW w:w="1984" w:type="dxa"/>
          </w:tcPr>
          <w:p w14:paraId="3D62DA46" w14:textId="6D0C1072" w:rsidR="00F50E52" w:rsidRPr="00B8692A" w:rsidRDefault="00F50E52" w:rsidP="00E61FFF">
            <w:pPr>
              <w:rPr>
                <w:rFonts w:cs="Arial"/>
              </w:rPr>
            </w:pPr>
            <w:r w:rsidRPr="00B8692A">
              <w:rPr>
                <w:rFonts w:cs="Arial"/>
              </w:rPr>
              <w:t>Obwieszczenie Ministra Sportu z</w:t>
            </w:r>
            <w:r w:rsidR="00E61FFF">
              <w:rPr>
                <w:rFonts w:cs="Arial"/>
              </w:rPr>
              <w:t> </w:t>
            </w:r>
            <w:r w:rsidRPr="00B8692A">
              <w:rPr>
                <w:rFonts w:cs="Arial"/>
              </w:rPr>
              <w:t>dnia 6 marca 2020 r. w sprawie włączenia kwalifikacji rynkowej „Prowadzenie procesu szkolenia zaawansowanego w tenisie stołowym” do</w:t>
            </w:r>
            <w:r w:rsidR="00E61FFF">
              <w:rPr>
                <w:rFonts w:cs="Arial"/>
              </w:rPr>
              <w:t> </w:t>
            </w:r>
            <w:r w:rsidRPr="00B8692A">
              <w:rPr>
                <w:rFonts w:cs="Arial"/>
              </w:rPr>
              <w:t>Zintegrowanego Systemu Kwalifikacji</w:t>
            </w:r>
          </w:p>
        </w:tc>
        <w:tc>
          <w:tcPr>
            <w:tcW w:w="2268" w:type="dxa"/>
          </w:tcPr>
          <w:p w14:paraId="145C8F44" w14:textId="60DAC2C4" w:rsidR="00F50E52" w:rsidRPr="00B8692A" w:rsidRDefault="00F50E52" w:rsidP="00B8692A">
            <w:pPr>
              <w:rPr>
                <w:rFonts w:cs="Arial"/>
              </w:rPr>
            </w:pPr>
            <w:r w:rsidRPr="00B8692A">
              <w:rPr>
                <w:rFonts w:cs="Arial"/>
              </w:rPr>
              <w:t>Wspiera rozwój zawodowy kadry szkoleniowej w</w:t>
            </w:r>
            <w:r w:rsidR="00E61FFF">
              <w:rPr>
                <w:rFonts w:cs="Arial"/>
              </w:rPr>
              <w:t> </w:t>
            </w:r>
            <w:r w:rsidRPr="00B8692A">
              <w:rPr>
                <w:rFonts w:cs="Arial"/>
              </w:rPr>
              <w:t>ośrodkach szkolenia w zakresie tenisa stołowego</w:t>
            </w:r>
          </w:p>
        </w:tc>
        <w:tc>
          <w:tcPr>
            <w:tcW w:w="2828" w:type="dxa"/>
          </w:tcPr>
          <w:p w14:paraId="3DF0E365" w14:textId="77777777" w:rsidR="00F50E52" w:rsidRDefault="00F50E52" w:rsidP="009E064E">
            <w:pPr>
              <w:pStyle w:val="Akapitzlist"/>
              <w:numPr>
                <w:ilvl w:val="0"/>
                <w:numId w:val="20"/>
              </w:numPr>
              <w:ind w:left="315"/>
              <w:rPr>
                <w:rFonts w:cs="Arial"/>
              </w:rPr>
            </w:pPr>
            <w:r w:rsidRPr="00F50E52">
              <w:rPr>
                <w:rFonts w:cs="Arial"/>
              </w:rPr>
              <w:t>planuje szkolenia zawodowe oraz kreuje zakres tematyczny szkoleń</w:t>
            </w:r>
          </w:p>
          <w:p w14:paraId="5D505C4D" w14:textId="77777777" w:rsidR="00F50E52" w:rsidRDefault="00F50E52" w:rsidP="009E064E">
            <w:pPr>
              <w:pStyle w:val="Akapitzlist"/>
              <w:numPr>
                <w:ilvl w:val="0"/>
                <w:numId w:val="20"/>
              </w:numPr>
              <w:ind w:left="315"/>
              <w:rPr>
                <w:rFonts w:cs="Arial"/>
              </w:rPr>
            </w:pPr>
            <w:r w:rsidRPr="00F50E52">
              <w:rPr>
                <w:rFonts w:cs="Arial"/>
              </w:rPr>
              <w:t xml:space="preserve">aranżuje i organizuje proces doskonalenia kadry trenerskiej </w:t>
            </w:r>
          </w:p>
          <w:p w14:paraId="6EF1E22B" w14:textId="4EAD9395" w:rsidR="00F50E52" w:rsidRDefault="00F50E52" w:rsidP="009E064E">
            <w:pPr>
              <w:pStyle w:val="Akapitzlist"/>
              <w:numPr>
                <w:ilvl w:val="0"/>
                <w:numId w:val="20"/>
              </w:numPr>
              <w:ind w:left="315"/>
              <w:rPr>
                <w:rFonts w:cs="Arial"/>
              </w:rPr>
            </w:pPr>
            <w:r w:rsidRPr="00F50E52">
              <w:rPr>
                <w:rFonts w:cs="Arial"/>
              </w:rPr>
              <w:t>prowadzi wykłady, prezentacje i zajęcia praktyczne ze</w:t>
            </w:r>
            <w:r w:rsidR="00E61FFF">
              <w:rPr>
                <w:rFonts w:cs="Arial"/>
              </w:rPr>
              <w:t> </w:t>
            </w:r>
            <w:r w:rsidRPr="00F50E52">
              <w:rPr>
                <w:rFonts w:cs="Arial"/>
              </w:rPr>
              <w:t>szkoleniowcami i</w:t>
            </w:r>
            <w:r w:rsidR="001D5485">
              <w:rPr>
                <w:rFonts w:cs="Arial"/>
              </w:rPr>
              <w:t> </w:t>
            </w:r>
            <w:r w:rsidRPr="00F50E52">
              <w:rPr>
                <w:rFonts w:cs="Arial"/>
              </w:rPr>
              <w:t xml:space="preserve">trenerami </w:t>
            </w:r>
          </w:p>
          <w:p w14:paraId="1DB09E7A" w14:textId="004F86E1" w:rsidR="00F50E52" w:rsidRPr="00E61FFF" w:rsidRDefault="00F50E52" w:rsidP="009E064E">
            <w:pPr>
              <w:pStyle w:val="Akapitzlist"/>
              <w:numPr>
                <w:ilvl w:val="0"/>
                <w:numId w:val="20"/>
              </w:numPr>
              <w:ind w:left="315"/>
              <w:rPr>
                <w:rFonts w:cs="Arial"/>
              </w:rPr>
            </w:pPr>
            <w:r w:rsidRPr="00F50E52">
              <w:rPr>
                <w:rFonts w:cs="Arial"/>
              </w:rPr>
              <w:t>prowadzi warsztaty i</w:t>
            </w:r>
            <w:r w:rsidR="001D5485">
              <w:rPr>
                <w:rFonts w:cs="Arial"/>
              </w:rPr>
              <w:t> </w:t>
            </w:r>
            <w:r w:rsidRPr="00F50E52">
              <w:rPr>
                <w:rFonts w:cs="Arial"/>
              </w:rPr>
              <w:t>treningi pokazowe.</w:t>
            </w:r>
          </w:p>
        </w:tc>
      </w:tr>
    </w:tbl>
    <w:p w14:paraId="26902ECF" w14:textId="56E57540" w:rsidR="00B8692A" w:rsidRPr="00B8692A" w:rsidRDefault="00B8692A" w:rsidP="00B8692A">
      <w:pPr>
        <w:rPr>
          <w:rFonts w:cs="Arial"/>
        </w:rPr>
      </w:pPr>
      <w:r w:rsidRPr="00F50E52">
        <w:rPr>
          <w:rFonts w:cs="Arial"/>
          <w:b/>
        </w:rPr>
        <w:t>Walidacja</w:t>
      </w:r>
      <w:r w:rsidRPr="00B8692A">
        <w:rPr>
          <w:rFonts w:cs="Arial"/>
        </w:rPr>
        <w:t xml:space="preserve"> to sprawdzenie, czy osoba ubiegająca się o nadanie określonej kwalifikacji, niezależnie od sposobu uczenia się tej osoby,</w:t>
      </w:r>
      <w:r w:rsidR="00552C18">
        <w:rPr>
          <w:rFonts w:cs="Arial"/>
        </w:rPr>
        <w:t xml:space="preserve"> </w:t>
      </w:r>
      <w:r w:rsidRPr="00B8692A">
        <w:rPr>
          <w:rFonts w:cs="Arial"/>
        </w:rPr>
        <w:t>osiągnęła wyodrębnioną część lub całość efektów uczenia się wymaganych dla tej kwalifikacji. Walidacja poprzedza certyfikowanie. Walidacja powinna być prowadzona w sposób trafny (weryfikowane są te efekty uczenia się, które zostały określone dla</w:t>
      </w:r>
      <w:r w:rsidR="00611492">
        <w:rPr>
          <w:rFonts w:cs="Arial"/>
        </w:rPr>
        <w:t> </w:t>
      </w:r>
      <w:r w:rsidRPr="00B8692A">
        <w:rPr>
          <w:rFonts w:cs="Arial"/>
        </w:rPr>
        <w:t>danej kwalifikacji) i rzetelny (wynik weryfikacji jest niezależny od miejsca, czasu, metod oraz osób</w:t>
      </w:r>
      <w:r w:rsidR="0016522F">
        <w:rPr>
          <w:rFonts w:cs="Arial"/>
        </w:rPr>
        <w:t xml:space="preserve"> </w:t>
      </w:r>
      <w:r w:rsidRPr="00B8692A">
        <w:rPr>
          <w:rFonts w:cs="Arial"/>
        </w:rPr>
        <w:t>przeprowadzających walidację). Walidację wieńczy podjęcie i wydanie decyzji, jakie efekty uczenia się zostały potwierdzone w jej trakcie, jakie zaś nie.</w:t>
      </w:r>
    </w:p>
    <w:p w14:paraId="046070DA" w14:textId="7E499D03" w:rsidR="00B8692A" w:rsidRPr="00B8692A" w:rsidRDefault="00B8692A" w:rsidP="00B8692A">
      <w:pPr>
        <w:rPr>
          <w:rFonts w:cs="Arial"/>
        </w:rPr>
      </w:pPr>
      <w:r w:rsidRPr="0016522F">
        <w:rPr>
          <w:rFonts w:cs="Arial"/>
          <w:b/>
        </w:rPr>
        <w:t>Certyfikowanie</w:t>
      </w:r>
      <w:r w:rsidRPr="00B8692A">
        <w:rPr>
          <w:rFonts w:cs="Arial"/>
        </w:rP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w:t>
      </w:r>
      <w:r w:rsidR="00443DF8">
        <w:rPr>
          <w:rFonts w:cs="Arial"/>
        </w:rPr>
        <w:t> </w:t>
      </w:r>
      <w:r w:rsidRPr="00B8692A">
        <w:rPr>
          <w:rFonts w:cs="Arial"/>
        </w:rPr>
        <w:t>wyniku wydania pozytywnej decyzji stwierdzającej, że wszystkie efekty uczenia się wymagane dla</w:t>
      </w:r>
      <w:r w:rsidR="00611492">
        <w:rPr>
          <w:rFonts w:cs="Arial"/>
        </w:rPr>
        <w:t> </w:t>
      </w:r>
      <w:r w:rsidRPr="00B8692A">
        <w:rPr>
          <w:rFonts w:cs="Arial"/>
        </w:rPr>
        <w:t>danej kwalifikacji zostały osiągnięte. W przypadku niektórych kwalifikacji walidacja i</w:t>
      </w:r>
      <w:r w:rsidR="00611492">
        <w:rPr>
          <w:rFonts w:cs="Arial"/>
        </w:rPr>
        <w:t> </w:t>
      </w:r>
      <w:r w:rsidRPr="00B8692A">
        <w:rPr>
          <w:rFonts w:cs="Arial"/>
        </w:rPr>
        <w:t xml:space="preserve">certyfikowanie są prowadzone przez różne podmioty (np. egzamin na prawo jazdy przeprowadza Wojewódzki Ośrodek Ruchu Drogowego, natomiast dokument, tj. prawo jazdy, wydaje starosta powiatu). Certyfikaty i inne dokumenty potwierdzające uzyskanie kwalifikacji powinny być </w:t>
      </w:r>
      <w:r w:rsidRPr="0016522F">
        <w:rPr>
          <w:rFonts w:cs="Arial"/>
          <w:b/>
        </w:rPr>
        <w:t>rozpoznawalne i</w:t>
      </w:r>
      <w:r w:rsidR="001D5485">
        <w:rPr>
          <w:rFonts w:cs="Arial"/>
          <w:b/>
        </w:rPr>
        <w:t> </w:t>
      </w:r>
      <w:r w:rsidRPr="0016522F">
        <w:rPr>
          <w:rFonts w:cs="Arial"/>
          <w:b/>
        </w:rPr>
        <w:t>uznawane</w:t>
      </w:r>
      <w:r w:rsidRPr="00B8692A">
        <w:rPr>
          <w:rFonts w:cs="Arial"/>
        </w:rPr>
        <w:t xml:space="preserve"> w danym sektorze lub branży.</w:t>
      </w:r>
    </w:p>
    <w:p w14:paraId="02D610C6" w14:textId="77777777" w:rsidR="00B8692A" w:rsidRPr="00B8692A" w:rsidRDefault="00B8692A" w:rsidP="00B8692A">
      <w:pPr>
        <w:rPr>
          <w:rFonts w:cs="Arial"/>
        </w:rPr>
      </w:pPr>
      <w:r w:rsidRPr="00B8692A">
        <w:rPr>
          <w:rFonts w:cs="Arial"/>
        </w:rPr>
        <w:t>Z uwagi na trwające prace nad rozwojem Zintegrowanego Systemu Kwalifikacji, nie jest możliwe wskazanie pełnej listy instytucji certyfikujących oraz samych kwalifikacji.</w:t>
      </w:r>
    </w:p>
    <w:p w14:paraId="694E2A88" w14:textId="77777777" w:rsidR="00B8692A" w:rsidRPr="0016522F" w:rsidRDefault="00B8692A" w:rsidP="00B8692A">
      <w:pPr>
        <w:rPr>
          <w:rFonts w:cs="Arial"/>
          <w:b/>
        </w:rPr>
      </w:pPr>
      <w:r w:rsidRPr="0016522F">
        <w:rPr>
          <w:rFonts w:cs="Arial"/>
          <w:b/>
        </w:rPr>
        <w:t>2) Możliwości uzyskiwania kwalifikacji</w:t>
      </w:r>
    </w:p>
    <w:p w14:paraId="76C2A2DC" w14:textId="748C8D12" w:rsidR="00B8692A" w:rsidRPr="00B8692A" w:rsidRDefault="00B8692A" w:rsidP="00B8692A">
      <w:pPr>
        <w:rPr>
          <w:rFonts w:cs="Arial"/>
        </w:rPr>
      </w:pPr>
      <w:r w:rsidRPr="00B8692A">
        <w:rPr>
          <w:rFonts w:cs="Arial"/>
        </w:rPr>
        <w:t>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w:t>
      </w:r>
      <w:r w:rsidR="001D5485">
        <w:rPr>
          <w:rFonts w:cs="Arial"/>
        </w:rPr>
        <w:t> </w:t>
      </w:r>
      <w:r w:rsidRPr="00B8692A">
        <w:rPr>
          <w:rFonts w:cs="Arial"/>
        </w:rPr>
        <w:t>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w:t>
      </w:r>
      <w:r w:rsidR="0016522F">
        <w:rPr>
          <w:rFonts w:cs="Arial"/>
        </w:rPr>
        <w:t xml:space="preserve"> </w:t>
      </w:r>
      <w:r w:rsidRPr="00B8692A">
        <w:rPr>
          <w:rFonts w:cs="Arial"/>
        </w:rPr>
        <w:t>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 sektorów lub związku branżowego, zrzeszającego pracodawców danej branży/sektorów).</w:t>
      </w:r>
    </w:p>
    <w:p w14:paraId="23EEC1A4" w14:textId="77777777" w:rsidR="00B8692A" w:rsidRPr="0016522F" w:rsidRDefault="00B8692A" w:rsidP="009E064E">
      <w:pPr>
        <w:pStyle w:val="Akapitzlist"/>
        <w:numPr>
          <w:ilvl w:val="0"/>
          <w:numId w:val="21"/>
        </w:numPr>
        <w:rPr>
          <w:rFonts w:cs="Arial"/>
          <w:b/>
        </w:rPr>
      </w:pPr>
      <w:r w:rsidRPr="0016522F">
        <w:rPr>
          <w:rFonts w:cs="Arial"/>
          <w:b/>
        </w:rPr>
        <w:t>Kwalifikacje pełne i cząstkowe nadawane w systemie oświaty i szkolnictwa wyższego</w:t>
      </w:r>
    </w:p>
    <w:p w14:paraId="198783D3" w14:textId="77777777" w:rsidR="00B8692A" w:rsidRPr="00B8692A" w:rsidRDefault="00B8692A" w:rsidP="00B8692A">
      <w:pPr>
        <w:rPr>
          <w:rFonts w:cs="Arial"/>
        </w:rPr>
      </w:pPr>
      <w:r w:rsidRPr="00B8692A">
        <w:rPr>
          <w:rFonts w:cs="Arial"/>
        </w:rPr>
        <w:t>Podstawą prawną regulującą uzyskiwanie tych kwalifikacji są:</w:t>
      </w:r>
    </w:p>
    <w:p w14:paraId="7ED907EC" w14:textId="77777777" w:rsidR="00B8692A" w:rsidRPr="0016522F" w:rsidRDefault="00B8692A" w:rsidP="009E064E">
      <w:pPr>
        <w:pStyle w:val="Akapitzlist"/>
        <w:numPr>
          <w:ilvl w:val="0"/>
          <w:numId w:val="22"/>
        </w:numPr>
        <w:rPr>
          <w:rFonts w:cs="Arial"/>
        </w:rPr>
      </w:pPr>
      <w:r w:rsidRPr="0016522F">
        <w:rPr>
          <w:rFonts w:cs="Arial"/>
        </w:rPr>
        <w:t>ustawa z dnia 14 grudnia 2016 r. Prawo oświatowe (Dz.U. z 2021 r. poz. 1082 z późn. zm.),</w:t>
      </w:r>
    </w:p>
    <w:p w14:paraId="6711D381" w14:textId="796C3C96" w:rsidR="00B8692A" w:rsidRPr="0016522F" w:rsidRDefault="00B8692A" w:rsidP="009E064E">
      <w:pPr>
        <w:pStyle w:val="Akapitzlist"/>
        <w:numPr>
          <w:ilvl w:val="0"/>
          <w:numId w:val="22"/>
        </w:numPr>
        <w:rPr>
          <w:rFonts w:cs="Arial"/>
        </w:rPr>
      </w:pPr>
      <w:r w:rsidRPr="0016522F">
        <w:rPr>
          <w:rFonts w:cs="Arial"/>
        </w:rPr>
        <w:t>ustawa z dnia 7 września 1991 r. o systemie oświaty (Dz. U. z 2021 r. poz. 1915, z 2022 r. poz.</w:t>
      </w:r>
      <w:r w:rsidR="00611492">
        <w:rPr>
          <w:rFonts w:cs="Arial"/>
        </w:rPr>
        <w:t> </w:t>
      </w:r>
      <w:r w:rsidRPr="0016522F">
        <w:rPr>
          <w:rFonts w:cs="Arial"/>
        </w:rPr>
        <w:t>583, 1116),</w:t>
      </w:r>
    </w:p>
    <w:p w14:paraId="31EBF5EC" w14:textId="77777777" w:rsidR="00B8692A" w:rsidRPr="0016522F" w:rsidRDefault="00B8692A" w:rsidP="009E064E">
      <w:pPr>
        <w:pStyle w:val="Akapitzlist"/>
        <w:numPr>
          <w:ilvl w:val="0"/>
          <w:numId w:val="22"/>
        </w:numPr>
        <w:rPr>
          <w:rFonts w:cs="Arial"/>
        </w:rPr>
      </w:pPr>
      <w:r w:rsidRPr="0016522F">
        <w:rPr>
          <w:rFonts w:cs="Arial"/>
        </w:rPr>
        <w:t>ustawa z dnia 28 lipca 2018 r. Prawo o szkolnictwie wyższym i nauce (Dz. U. z 2021 r. poz. 478 z późn. zm.),</w:t>
      </w:r>
    </w:p>
    <w:p w14:paraId="44463474" w14:textId="77777777" w:rsidR="00B8692A" w:rsidRPr="0016522F" w:rsidRDefault="00B8692A" w:rsidP="009E064E">
      <w:pPr>
        <w:pStyle w:val="Akapitzlist"/>
        <w:numPr>
          <w:ilvl w:val="0"/>
          <w:numId w:val="22"/>
        </w:numPr>
        <w:rPr>
          <w:rFonts w:cs="Arial"/>
        </w:rPr>
      </w:pPr>
      <w:r w:rsidRPr="0016522F">
        <w:rPr>
          <w:rFonts w:cs="Arial"/>
        </w:rPr>
        <w:t xml:space="preserve">rozporządzenie Ministra Edukacji Narodowej z dnia 15 lutego 2019 r. w sprawie ogólnych celów i zadań kształcenia w zawodach szkolnictwa branżowego oraz klasyfikacji zawodów szkolnictwa branżowego (Dz. U. poz. 316 z późn. </w:t>
      </w:r>
      <w:proofErr w:type="spellStart"/>
      <w:r w:rsidRPr="0016522F">
        <w:rPr>
          <w:rFonts w:cs="Arial"/>
        </w:rPr>
        <w:t>zm</w:t>
      </w:r>
      <w:proofErr w:type="spellEnd"/>
      <w:r w:rsidRPr="0016522F">
        <w:rPr>
          <w:rFonts w:cs="Arial"/>
        </w:rPr>
        <w:t>),</w:t>
      </w:r>
    </w:p>
    <w:p w14:paraId="54571830" w14:textId="32669884" w:rsidR="00B8692A" w:rsidRPr="0016522F" w:rsidRDefault="00B8692A" w:rsidP="00CA5704">
      <w:pPr>
        <w:pStyle w:val="Akapitzlist"/>
        <w:keepLines/>
        <w:numPr>
          <w:ilvl w:val="0"/>
          <w:numId w:val="22"/>
        </w:numPr>
        <w:ind w:left="714" w:hanging="357"/>
        <w:rPr>
          <w:rFonts w:cs="Arial"/>
        </w:rPr>
      </w:pPr>
      <w:r w:rsidRPr="0016522F">
        <w:rPr>
          <w:rFonts w:cs="Arial"/>
        </w:rPr>
        <w:t>rozporządzenie Ministra Edukacji Narodowej z dnia 16 maja 2019 r. w sprawie podstaw programowych kształcenia w zawodach szkolnictwa branżowego oraz dodatkowych umiejętności zawodowych w zakresie wybranych zawodów szkolnictwa branżowego (Dz.</w:t>
      </w:r>
      <w:r w:rsidR="00611492">
        <w:rPr>
          <w:rFonts w:cs="Arial"/>
        </w:rPr>
        <w:t> </w:t>
      </w:r>
      <w:r w:rsidRPr="0016522F">
        <w:rPr>
          <w:rFonts w:cs="Arial"/>
        </w:rPr>
        <w:t>U.</w:t>
      </w:r>
      <w:r w:rsidR="00611492">
        <w:rPr>
          <w:rFonts w:cs="Arial"/>
        </w:rPr>
        <w:t> </w:t>
      </w:r>
      <w:r w:rsidRPr="0016522F">
        <w:rPr>
          <w:rFonts w:cs="Arial"/>
        </w:rPr>
        <w:t>poz. 991 z późn. zm.),</w:t>
      </w:r>
    </w:p>
    <w:p w14:paraId="2C47BF4F" w14:textId="77777777" w:rsidR="00B8692A" w:rsidRPr="0016522F" w:rsidRDefault="00B8692A" w:rsidP="009E064E">
      <w:pPr>
        <w:pStyle w:val="Akapitzlist"/>
        <w:numPr>
          <w:ilvl w:val="0"/>
          <w:numId w:val="22"/>
        </w:numPr>
        <w:rPr>
          <w:rFonts w:cs="Arial"/>
        </w:rPr>
      </w:pPr>
      <w:r w:rsidRPr="0016522F">
        <w:rPr>
          <w:rFonts w:cs="Arial"/>
        </w:rPr>
        <w:t>rozporządzenie Ministra Edukacji Narodowej z dnia 28 sierpnia 2019 r. w sprawie szczegółowych warunków i sposobu przeprowadzania egzaminu zawodowego oraz egzaminu potwierdzającego kwalifikacje w zawodzie (Dz.U. z 2019 r. poz. 1707 z późn. zm.),</w:t>
      </w:r>
    </w:p>
    <w:p w14:paraId="5782F351" w14:textId="77777777" w:rsidR="00B8692A" w:rsidRDefault="00B8692A" w:rsidP="009E064E">
      <w:pPr>
        <w:pStyle w:val="Akapitzlist"/>
        <w:numPr>
          <w:ilvl w:val="0"/>
          <w:numId w:val="22"/>
        </w:numPr>
        <w:rPr>
          <w:rFonts w:cs="Arial"/>
        </w:rPr>
      </w:pPr>
      <w:r w:rsidRPr="0016522F">
        <w:rPr>
          <w:rFonts w:cs="Arial"/>
        </w:rPr>
        <w:t xml:space="preserve">rozporządzenie Ministra Edukacji Narodowej z dnia 30 sierpnia 2019 r. w sprawie warunków, jakie musi spełnić osoba ubiegająca się o </w:t>
      </w:r>
      <w:proofErr w:type="spellStart"/>
      <w:r w:rsidRPr="0016522F">
        <w:rPr>
          <w:rFonts w:cs="Arial"/>
        </w:rPr>
        <w:t>uzyskaniedyplomu</w:t>
      </w:r>
      <w:proofErr w:type="spellEnd"/>
      <w:r w:rsidRPr="0016522F">
        <w:rPr>
          <w:rFonts w:cs="Arial"/>
        </w:rPr>
        <w:t xml:space="preserve"> zawodowego albo dyplomu potwierdzającego kwalifikacje zawodowe (Dz. U. poz. 1731, z późn. zm.);</w:t>
      </w:r>
    </w:p>
    <w:p w14:paraId="55BD5E6A" w14:textId="77777777" w:rsidR="00B8692A" w:rsidRPr="0016522F" w:rsidRDefault="00B8692A" w:rsidP="009E064E">
      <w:pPr>
        <w:pStyle w:val="Akapitzlist"/>
        <w:numPr>
          <w:ilvl w:val="0"/>
          <w:numId w:val="22"/>
        </w:numPr>
        <w:rPr>
          <w:rFonts w:cs="Arial"/>
        </w:rPr>
      </w:pPr>
      <w:r w:rsidRPr="0016522F">
        <w:rPr>
          <w:rFonts w:cs="Arial"/>
        </w:rPr>
        <w:t>rozporządzenie Ministra Edukacji Narodowej z dnia 19 marca 2019 r. w sprawie kształcenia ustawicznego w formach pozaszkolnych (Dz. U. poz. 652).</w:t>
      </w:r>
    </w:p>
    <w:p w14:paraId="5CDBE93D" w14:textId="77777777" w:rsidR="00B8692A" w:rsidRPr="00046EBF" w:rsidRDefault="00B8692A" w:rsidP="00B8692A">
      <w:pPr>
        <w:rPr>
          <w:rFonts w:cs="Arial"/>
          <w:b/>
          <w:bCs/>
        </w:rPr>
      </w:pPr>
      <w:r w:rsidRPr="00046EBF">
        <w:rPr>
          <w:rFonts w:cs="Arial"/>
          <w:b/>
          <w:bCs/>
        </w:rPr>
        <w:t>Kwalifikacje w zawodzie</w:t>
      </w:r>
    </w:p>
    <w:p w14:paraId="7B8FB61A" w14:textId="4AA7A656" w:rsidR="00B8692A" w:rsidRPr="00B8692A" w:rsidRDefault="00B8692A" w:rsidP="00B8692A">
      <w:pPr>
        <w:rPr>
          <w:rFonts w:cs="Arial"/>
        </w:rPr>
      </w:pPr>
      <w:r w:rsidRPr="00B8692A">
        <w:rPr>
          <w:rFonts w:cs="Arial"/>
        </w:rPr>
        <w:t>Uczniowie lub absolwenci branżowej szkoły I stopnia w tym osoby, które ukończyły naukę zawodu u</w:t>
      </w:r>
      <w:r w:rsidR="001D5485">
        <w:rPr>
          <w:rFonts w:cs="Arial"/>
        </w:rPr>
        <w:t> </w:t>
      </w:r>
      <w:r w:rsidRPr="00B8692A">
        <w:rPr>
          <w:rFonts w:cs="Arial"/>
        </w:rPr>
        <w:t>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w:t>
      </w:r>
    </w:p>
    <w:p w14:paraId="534A07B1" w14:textId="0490DCDA" w:rsidR="00B8692A" w:rsidRPr="00B8692A" w:rsidRDefault="00B8692A" w:rsidP="00B8692A">
      <w:pPr>
        <w:rPr>
          <w:rFonts w:cs="Arial"/>
        </w:rPr>
      </w:pPr>
      <w:r w:rsidRPr="00B8692A">
        <w:rPr>
          <w:rFonts w:cs="Arial"/>
        </w:rPr>
        <w:t>Kwalifikacyjny kurs zawodowy to jedna z pozaszkolnych form kształcenia ustawicznego i jest realizowany według programu nauczania uwzględniającego podstawę programową kształcenia w</w:t>
      </w:r>
      <w:r w:rsidR="001D5485">
        <w:rPr>
          <w:rFonts w:cs="Arial"/>
        </w:rPr>
        <w:t> </w:t>
      </w:r>
      <w:r w:rsidRPr="00B8692A">
        <w:rPr>
          <w:rFonts w:cs="Arial"/>
        </w:rPr>
        <w:t>zawodzie szkolnictwa branżowego, w zakresie jednej z kwalifikacji wyodrębnionych w danym zawodzie.</w:t>
      </w:r>
      <w:r w:rsidR="00552C18">
        <w:rPr>
          <w:rFonts w:cs="Arial"/>
        </w:rPr>
        <w:t xml:space="preserve"> </w:t>
      </w:r>
      <w:r w:rsidRPr="00B8692A">
        <w:rPr>
          <w:rFonts w:cs="Arial"/>
        </w:rPr>
        <w:t>Wymogi dotyczące organizacji kwalifikacyjnych kursów zawodowych reguluje rozporządzenie Ministra Edukacji Narodowej z dnia 19 marca 2019 r. w sprawie kształcenia ustawicznego w formach pozaszkolnych.</w:t>
      </w:r>
    </w:p>
    <w:p w14:paraId="5A160211" w14:textId="77777777" w:rsidR="00B8692A" w:rsidRPr="0016522F" w:rsidRDefault="00B8692A" w:rsidP="009E064E">
      <w:pPr>
        <w:pStyle w:val="Akapitzlist"/>
        <w:numPr>
          <w:ilvl w:val="0"/>
          <w:numId w:val="21"/>
        </w:numPr>
        <w:rPr>
          <w:rFonts w:cs="Arial"/>
          <w:b/>
        </w:rPr>
      </w:pPr>
      <w:r w:rsidRPr="0016522F">
        <w:rPr>
          <w:rFonts w:cs="Arial"/>
          <w:b/>
        </w:rPr>
        <w:t>Kwalifikacje i uprawnienia zawodowe nadawane poza systemami oświaty i szkolnictwa wyższego przez organy władz publicznych i samorządów zawodowych</w:t>
      </w:r>
    </w:p>
    <w:p w14:paraId="195A2E2E" w14:textId="77777777" w:rsidR="00B8692A" w:rsidRPr="00B8692A" w:rsidRDefault="00B8692A" w:rsidP="00B8692A">
      <w:pPr>
        <w:rPr>
          <w:rFonts w:cs="Arial"/>
        </w:rPr>
      </w:pPr>
      <w:r w:rsidRPr="00B8692A">
        <w:rPr>
          <w:rFonts w:cs="Arial"/>
        </w:rPr>
        <w:t>Do tej grupy należą kwalifikacje i uprawnienia zawodowe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w:t>
      </w:r>
    </w:p>
    <w:p w14:paraId="33AA52AF" w14:textId="77777777" w:rsidR="00B8692A" w:rsidRPr="00B8692A" w:rsidRDefault="00B8692A" w:rsidP="00B8692A">
      <w:pPr>
        <w:rPr>
          <w:rFonts w:cs="Arial"/>
        </w:rPr>
      </w:pPr>
      <w:r w:rsidRPr="00B8692A">
        <w:rPr>
          <w:rFonts w:cs="Arial"/>
        </w:rPr>
        <w:t>Podstawą prawną regulującą uzyskiwanie kwalifikacji lub uprawnień zawodowych są ustawy lub rozporządzenia, które regulują uzyskiwanie kwalifikacji zgodnie ze wspomnianymi wcześniej przesłankami (walidacja, certyfikacja).</w:t>
      </w:r>
    </w:p>
    <w:p w14:paraId="2832D15A" w14:textId="77777777" w:rsidR="00B8692A" w:rsidRPr="00046EBF" w:rsidRDefault="00B8692A" w:rsidP="00CA5704">
      <w:pPr>
        <w:keepNext/>
        <w:keepLines/>
        <w:rPr>
          <w:rFonts w:cs="Arial"/>
          <w:b/>
          <w:bCs/>
        </w:rPr>
      </w:pPr>
      <w:r w:rsidRPr="00046EBF">
        <w:rPr>
          <w:rFonts w:cs="Arial"/>
          <w:b/>
          <w:bCs/>
        </w:rPr>
        <w:t>Przygotowanie zawodowe dorosłych</w:t>
      </w:r>
    </w:p>
    <w:p w14:paraId="335C8470" w14:textId="631E57BE" w:rsidR="00AC7C4A" w:rsidRDefault="00B8692A" w:rsidP="00CA5704">
      <w:pPr>
        <w:keepLines/>
        <w:rPr>
          <w:rFonts w:cs="Arial"/>
        </w:rPr>
      </w:pPr>
      <w:r w:rsidRPr="00B8692A">
        <w:rPr>
          <w:rFonts w:cs="Arial"/>
        </w:rPr>
        <w:t>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w:t>
      </w:r>
    </w:p>
    <w:p w14:paraId="5D090EB4" w14:textId="77777777" w:rsidR="00B8692A" w:rsidRPr="0016522F" w:rsidRDefault="00B8692A" w:rsidP="009E064E">
      <w:pPr>
        <w:pStyle w:val="Akapitzlist"/>
        <w:numPr>
          <w:ilvl w:val="0"/>
          <w:numId w:val="21"/>
        </w:numPr>
        <w:rPr>
          <w:rFonts w:cs="Arial"/>
          <w:b/>
        </w:rPr>
      </w:pPr>
      <w:r w:rsidRPr="0016522F">
        <w:rPr>
          <w:rFonts w:cs="Arial"/>
          <w:b/>
        </w:rPr>
        <w:t>Kwalifikacje rynkowe włączone do ZSK</w:t>
      </w:r>
    </w:p>
    <w:p w14:paraId="3F85EE07" w14:textId="3C4DE435" w:rsidR="00B8692A" w:rsidRPr="00B8692A" w:rsidRDefault="00B8692A" w:rsidP="00B8692A">
      <w:pPr>
        <w:rPr>
          <w:rFonts w:cs="Arial"/>
        </w:rPr>
      </w:pPr>
      <w:r w:rsidRPr="00B8692A">
        <w:rPr>
          <w:rFonts w:cs="Arial"/>
        </w:rPr>
        <w:t>Kwalifikacje rynkowe włączone do ZSK to kwalifikacje nieuregulowane przepisami prawa innymi niż ustawa o ZSK, których nadawanie odbywa się na zasadzie swobody działalności gospodarczej. Do</w:t>
      </w:r>
      <w:r w:rsidR="00235AA2">
        <w:rPr>
          <w:rFonts w:cs="Arial"/>
        </w:rPr>
        <w:t> </w:t>
      </w:r>
      <w:r w:rsidRPr="00B8692A">
        <w:rPr>
          <w:rFonts w:cs="Arial"/>
        </w:rPr>
        <w:t>30</w:t>
      </w:r>
      <w:r w:rsidR="00235AA2">
        <w:rPr>
          <w:rFonts w:cs="Arial"/>
        </w:rPr>
        <w:t> </w:t>
      </w:r>
      <w:r w:rsidRPr="00B8692A">
        <w:rPr>
          <w:rFonts w:cs="Arial"/>
        </w:rPr>
        <w:t>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sidR="00F949FD">
        <w:rPr>
          <w:rStyle w:val="Odwoanieprzypisudolnego"/>
          <w:rFonts w:cs="Arial"/>
        </w:rPr>
        <w:footnoteReference w:id="14"/>
      </w:r>
      <w:r w:rsidRPr="00B8692A">
        <w:rPr>
          <w:rFonts w:cs="Arial"/>
        </w:rPr>
        <w:t>. Tym, co wyróżnia kwalifikacje włączone do ZSK, jest przypisany do nich poziom Polskiej Ramy Kwalifikacji, który umożliwia porównywanie ich z kwalifikacjami uzyskiwanymi w innych krajach poprzez odniesienie do Europejskiej Ramy Kwalifikacji.</w:t>
      </w:r>
    </w:p>
    <w:p w14:paraId="100945D5" w14:textId="77777777" w:rsidR="00B8692A" w:rsidRPr="0016522F" w:rsidRDefault="00B8692A" w:rsidP="009E064E">
      <w:pPr>
        <w:pStyle w:val="Akapitzlist"/>
        <w:numPr>
          <w:ilvl w:val="0"/>
          <w:numId w:val="21"/>
        </w:numPr>
        <w:rPr>
          <w:rFonts w:cs="Arial"/>
          <w:b/>
        </w:rPr>
      </w:pPr>
      <w:r w:rsidRPr="0016522F">
        <w:rPr>
          <w:rFonts w:cs="Arial"/>
          <w:b/>
        </w:rPr>
        <w:t>Kwalifikacje niewłączone do ZSK</w:t>
      </w:r>
    </w:p>
    <w:p w14:paraId="4EC8B433" w14:textId="095F595F" w:rsidR="00B8692A" w:rsidRPr="00B8692A" w:rsidRDefault="00B8692A" w:rsidP="00B8692A">
      <w:pPr>
        <w:rPr>
          <w:rFonts w:cs="Arial"/>
        </w:rPr>
      </w:pPr>
      <w:r w:rsidRPr="00B8692A">
        <w:rPr>
          <w:rFonts w:cs="Arial"/>
        </w:rPr>
        <w:t>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w:t>
      </w:r>
      <w:r w:rsidR="00443DF8">
        <w:rPr>
          <w:rFonts w:cs="Arial"/>
        </w:rPr>
        <w:t> </w:t>
      </w:r>
      <w:r w:rsidRPr="00B8692A">
        <w:rPr>
          <w:rFonts w:cs="Arial"/>
        </w:rPr>
        <w:t>certyfikowania efektów uczenia się na poziomie międzynarodowym.</w:t>
      </w:r>
    </w:p>
    <w:p w14:paraId="04B5EEBC" w14:textId="77777777" w:rsidR="00B8692A" w:rsidRPr="00B8692A" w:rsidRDefault="00B8692A" w:rsidP="00B8692A">
      <w:pPr>
        <w:rPr>
          <w:rFonts w:cs="Arial"/>
        </w:rPr>
      </w:pPr>
      <w:r w:rsidRPr="00B8692A">
        <w:rPr>
          <w:rFonts w:cs="Arial"/>
        </w:rPr>
        <w:t>Do takich kwalifikacji należą m.in.:</w:t>
      </w:r>
    </w:p>
    <w:p w14:paraId="52944C7B" w14:textId="77777777" w:rsidR="00B8692A" w:rsidRPr="00F949FD" w:rsidRDefault="00B8692A" w:rsidP="009E064E">
      <w:pPr>
        <w:pStyle w:val="Akapitzlist"/>
        <w:numPr>
          <w:ilvl w:val="0"/>
          <w:numId w:val="23"/>
        </w:numPr>
        <w:ind w:left="284" w:hanging="284"/>
        <w:rPr>
          <w:rFonts w:cs="Arial"/>
          <w:b/>
        </w:rPr>
      </w:pPr>
      <w:r w:rsidRPr="00F949FD">
        <w:rPr>
          <w:rFonts w:cs="Arial"/>
          <w:b/>
        </w:rPr>
        <w:t>Kwalifikacje sektora finansowego:</w:t>
      </w:r>
    </w:p>
    <w:p w14:paraId="1E46EEA4" w14:textId="77777777" w:rsidR="00B8692A" w:rsidRPr="00F949FD" w:rsidRDefault="00B8692A" w:rsidP="009E064E">
      <w:pPr>
        <w:pStyle w:val="Akapitzlist"/>
        <w:numPr>
          <w:ilvl w:val="1"/>
          <w:numId w:val="42"/>
        </w:numPr>
        <w:ind w:left="567" w:hanging="283"/>
        <w:rPr>
          <w:rFonts w:cs="Arial"/>
        </w:rPr>
      </w:pPr>
      <w:r w:rsidRPr="00F949FD">
        <w:rPr>
          <w:rFonts w:cs="Arial"/>
        </w:rPr>
        <w:t>Dyplomowany Pracownik Bankowy (Związek Banków Polskich, w ramach Systemu Standardów Kwalifikacyjnych w Bankowości Polskiej);</w:t>
      </w:r>
    </w:p>
    <w:p w14:paraId="223DC8E5" w14:textId="77777777" w:rsidR="00B8692A" w:rsidRPr="00F949FD" w:rsidRDefault="00B8692A" w:rsidP="009E064E">
      <w:pPr>
        <w:pStyle w:val="Akapitzlist"/>
        <w:numPr>
          <w:ilvl w:val="1"/>
          <w:numId w:val="42"/>
        </w:numPr>
        <w:ind w:left="567" w:hanging="283"/>
        <w:rPr>
          <w:rFonts w:cs="Arial"/>
        </w:rPr>
      </w:pPr>
      <w:r w:rsidRPr="00F949FD">
        <w:rPr>
          <w:rFonts w:cs="Arial"/>
        </w:rPr>
        <w:t>Specjalista ds. rachunkowości (Stowarzyszenie Księgowych w Polsce);</w:t>
      </w:r>
    </w:p>
    <w:p w14:paraId="3750BF53"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zarządzania ryzykiem (Warszawski Instytut Bankowy);</w:t>
      </w:r>
    </w:p>
    <w:p w14:paraId="2FC8AD98" w14:textId="77777777" w:rsidR="00B8692A" w:rsidRPr="00F949FD" w:rsidRDefault="00B8692A" w:rsidP="009E064E">
      <w:pPr>
        <w:pStyle w:val="Akapitzlist"/>
        <w:numPr>
          <w:ilvl w:val="1"/>
          <w:numId w:val="42"/>
        </w:numPr>
        <w:ind w:left="567" w:hanging="283"/>
        <w:rPr>
          <w:rFonts w:cs="Arial"/>
        </w:rPr>
      </w:pPr>
      <w:r w:rsidRPr="00F949FD">
        <w:rPr>
          <w:rFonts w:cs="Arial"/>
        </w:rPr>
        <w:t>Certyfikat Dealera WIB/ACI Polska (Warszawski Instytut Bankowy);</w:t>
      </w:r>
    </w:p>
    <w:p w14:paraId="40B85CE9"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controllingu bankowego (Warszawski Instytut Bankowy);</w:t>
      </w:r>
    </w:p>
    <w:p w14:paraId="7BD1356D" w14:textId="77777777" w:rsidR="00B8692A" w:rsidRPr="00F949FD" w:rsidRDefault="00B8692A" w:rsidP="009E064E">
      <w:pPr>
        <w:pStyle w:val="Akapitzlist"/>
        <w:numPr>
          <w:ilvl w:val="1"/>
          <w:numId w:val="42"/>
        </w:numPr>
        <w:ind w:left="567" w:hanging="283"/>
        <w:rPr>
          <w:rFonts w:cs="Arial"/>
        </w:rPr>
      </w:pPr>
      <w:r w:rsidRPr="00F949FD">
        <w:rPr>
          <w:rFonts w:cs="Arial"/>
        </w:rPr>
        <w:t>Certyfikowany Konsultant Finansowy (Związek Banków Polskich, w ramach Systemu Standardów Kwalifikacyjnych w Bankowości Polskiej);</w:t>
      </w:r>
    </w:p>
    <w:p w14:paraId="23FB8E2F" w14:textId="77777777" w:rsidR="00B8692A" w:rsidRPr="00F949FD" w:rsidRDefault="00B8692A" w:rsidP="009E064E">
      <w:pPr>
        <w:pStyle w:val="Akapitzlist"/>
        <w:numPr>
          <w:ilvl w:val="1"/>
          <w:numId w:val="42"/>
        </w:numPr>
        <w:ind w:left="567" w:hanging="283"/>
        <w:rPr>
          <w:rFonts w:cs="Arial"/>
        </w:rPr>
      </w:pPr>
      <w:r w:rsidRPr="00F949FD">
        <w:rPr>
          <w:rFonts w:cs="Arial"/>
        </w:rPr>
        <w:t>certyfikaty z zakresu doradztwa finansowego, oparte na standardzie EFPA (</w:t>
      </w:r>
      <w:proofErr w:type="spellStart"/>
      <w:r w:rsidRPr="00F949FD">
        <w:rPr>
          <w:rFonts w:cs="Arial"/>
        </w:rPr>
        <w:t>European</w:t>
      </w:r>
      <w:proofErr w:type="spellEnd"/>
      <w:r w:rsidRPr="00F949FD">
        <w:rPr>
          <w:rFonts w:cs="Arial"/>
        </w:rPr>
        <w:t xml:space="preserve"> Financial Planning </w:t>
      </w:r>
      <w:proofErr w:type="spellStart"/>
      <w:r w:rsidRPr="00F949FD">
        <w:rPr>
          <w:rFonts w:cs="Arial"/>
        </w:rPr>
        <w:t>Association</w:t>
      </w:r>
      <w:proofErr w:type="spellEnd"/>
      <w:r w:rsidRPr="00F949FD">
        <w:rPr>
          <w:rFonts w:cs="Arial"/>
        </w:rPr>
        <w:t>);</w:t>
      </w:r>
    </w:p>
    <w:p w14:paraId="048A7705" w14:textId="77777777" w:rsidR="00B8692A" w:rsidRDefault="00B8692A" w:rsidP="009E064E">
      <w:pPr>
        <w:pStyle w:val="Akapitzlist"/>
        <w:numPr>
          <w:ilvl w:val="1"/>
          <w:numId w:val="42"/>
        </w:numPr>
        <w:ind w:left="568" w:hanging="284"/>
        <w:contextualSpacing w:val="0"/>
        <w:rPr>
          <w:rFonts w:cs="Arial"/>
        </w:rPr>
      </w:pPr>
      <w:r w:rsidRPr="00F949FD">
        <w:rPr>
          <w:rFonts w:cs="Arial"/>
        </w:rPr>
        <w:t xml:space="preserve">Certyfikat </w:t>
      </w:r>
      <w:proofErr w:type="spellStart"/>
      <w:r w:rsidRPr="00F949FD">
        <w:rPr>
          <w:rFonts w:cs="Arial"/>
        </w:rPr>
        <w:t>ogólnobankowy</w:t>
      </w:r>
      <w:proofErr w:type="spellEnd"/>
      <w:r w:rsidRPr="00F949FD">
        <w:rPr>
          <w:rFonts w:cs="Arial"/>
        </w:rPr>
        <w:t xml:space="preserve"> ECB EFCB (EBTN/SSKBP) (Warszawski Instytut Bankowości jako instytucja akredytowana przez </w:t>
      </w:r>
      <w:proofErr w:type="spellStart"/>
      <w:r w:rsidRPr="00F949FD">
        <w:rPr>
          <w:rFonts w:cs="Arial"/>
        </w:rPr>
        <w:t>European</w:t>
      </w:r>
      <w:proofErr w:type="spellEnd"/>
      <w:r w:rsidRPr="00F949FD">
        <w:rPr>
          <w:rFonts w:cs="Arial"/>
        </w:rPr>
        <w:t xml:space="preserve"> Banking and Financial Services Training </w:t>
      </w:r>
      <w:proofErr w:type="spellStart"/>
      <w:r w:rsidRPr="00F949FD">
        <w:rPr>
          <w:rFonts w:cs="Arial"/>
        </w:rPr>
        <w:t>Association</w:t>
      </w:r>
      <w:proofErr w:type="spellEnd"/>
      <w:r w:rsidRPr="00F949FD">
        <w:rPr>
          <w:rFonts w:cs="Arial"/>
        </w:rPr>
        <w:t>).</w:t>
      </w:r>
    </w:p>
    <w:p w14:paraId="03964E4A" w14:textId="77777777" w:rsidR="00B8692A" w:rsidRPr="00F949FD" w:rsidRDefault="00B8692A" w:rsidP="009E064E">
      <w:pPr>
        <w:pStyle w:val="Akapitzlist"/>
        <w:numPr>
          <w:ilvl w:val="0"/>
          <w:numId w:val="23"/>
        </w:numPr>
        <w:ind w:left="284" w:hanging="284"/>
        <w:contextualSpacing w:val="0"/>
        <w:rPr>
          <w:rFonts w:cs="Arial"/>
          <w:b/>
        </w:rPr>
      </w:pPr>
      <w:r w:rsidRPr="00F949FD">
        <w:rPr>
          <w:rFonts w:cs="Arial"/>
          <w:b/>
        </w:rPr>
        <w:t>Kwalifikacje komputerowe/informatyczne:</w:t>
      </w:r>
    </w:p>
    <w:p w14:paraId="384627A1" w14:textId="77777777" w:rsidR="00B8692A" w:rsidRPr="00B8692A" w:rsidRDefault="00B8692A" w:rsidP="009E064E">
      <w:pPr>
        <w:pStyle w:val="Akapitzlist"/>
        <w:numPr>
          <w:ilvl w:val="1"/>
          <w:numId w:val="43"/>
        </w:numPr>
        <w:ind w:left="567" w:hanging="283"/>
        <w:rPr>
          <w:rFonts w:cs="Arial"/>
        </w:rPr>
      </w:pPr>
      <w:r w:rsidRPr="00B8692A">
        <w:rPr>
          <w:rFonts w:cs="Arial"/>
        </w:rPr>
        <w:t>Certyfikaty kwalifikacji komputerowych;</w:t>
      </w:r>
    </w:p>
    <w:p w14:paraId="766B0E8C" w14:textId="77777777" w:rsidR="00B8692A" w:rsidRPr="00B8692A" w:rsidRDefault="00F949FD" w:rsidP="009E064E">
      <w:pPr>
        <w:pStyle w:val="Akapitzlist"/>
        <w:numPr>
          <w:ilvl w:val="1"/>
          <w:numId w:val="43"/>
        </w:numPr>
        <w:ind w:left="567" w:hanging="283"/>
        <w:rPr>
          <w:rFonts w:cs="Arial"/>
        </w:rPr>
      </w:pPr>
      <w:r>
        <w:rPr>
          <w:rFonts w:cs="Arial"/>
        </w:rPr>
        <w:t>C</w:t>
      </w:r>
      <w:r w:rsidR="00B8692A" w:rsidRPr="00B8692A">
        <w:rPr>
          <w:rFonts w:cs="Arial"/>
        </w:rPr>
        <w:t>ertyfikat EPP e-Urzędnik;</w:t>
      </w:r>
    </w:p>
    <w:p w14:paraId="041A0082" w14:textId="77777777" w:rsidR="00B8692A" w:rsidRPr="00B8692A" w:rsidRDefault="00B8692A" w:rsidP="009E064E">
      <w:pPr>
        <w:pStyle w:val="Akapitzlist"/>
        <w:numPr>
          <w:ilvl w:val="1"/>
          <w:numId w:val="43"/>
        </w:numPr>
        <w:ind w:left="567" w:hanging="283"/>
        <w:rPr>
          <w:rFonts w:cs="Arial"/>
        </w:rPr>
      </w:pPr>
      <w:r w:rsidRPr="00B8692A">
        <w:rPr>
          <w:rFonts w:cs="Arial"/>
        </w:rPr>
        <w:t>Europejski Certyfikat Zawodu Informatyka na poziomie bazowym (EUCIP CORE);</w:t>
      </w:r>
    </w:p>
    <w:p w14:paraId="74922136" w14:textId="77777777" w:rsidR="00B8692A" w:rsidRPr="00B8692A" w:rsidRDefault="00B8692A" w:rsidP="009E064E">
      <w:pPr>
        <w:pStyle w:val="Akapitzlist"/>
        <w:numPr>
          <w:ilvl w:val="1"/>
          <w:numId w:val="43"/>
        </w:numPr>
        <w:ind w:left="567" w:hanging="283"/>
        <w:rPr>
          <w:rFonts w:cs="Arial"/>
        </w:rPr>
      </w:pPr>
      <w:r w:rsidRPr="00B8692A">
        <w:rPr>
          <w:rFonts w:cs="Arial"/>
        </w:rPr>
        <w:t>Oracle Certyfikat Java;</w:t>
      </w:r>
    </w:p>
    <w:p w14:paraId="25111858" w14:textId="77777777" w:rsidR="00B8692A" w:rsidRDefault="00B8692A" w:rsidP="00CA5704">
      <w:pPr>
        <w:pStyle w:val="Akapitzlist"/>
        <w:numPr>
          <w:ilvl w:val="1"/>
          <w:numId w:val="43"/>
        </w:numPr>
        <w:ind w:left="568" w:hanging="284"/>
        <w:contextualSpacing w:val="0"/>
        <w:rPr>
          <w:rFonts w:cs="Arial"/>
        </w:rPr>
      </w:pPr>
      <w:r w:rsidRPr="00B8692A">
        <w:rPr>
          <w:rFonts w:cs="Arial"/>
        </w:rPr>
        <w:t>Certyfikaty Microsoft.</w:t>
      </w:r>
    </w:p>
    <w:p w14:paraId="606C4103" w14:textId="7EB44CD3" w:rsidR="00B8692A" w:rsidRPr="002B5A7C" w:rsidRDefault="00B8692A" w:rsidP="009E064E">
      <w:pPr>
        <w:pStyle w:val="Akapitzlist"/>
        <w:keepNext/>
        <w:numPr>
          <w:ilvl w:val="0"/>
          <w:numId w:val="23"/>
        </w:numPr>
        <w:ind w:left="284" w:hanging="284"/>
        <w:contextualSpacing w:val="0"/>
        <w:rPr>
          <w:rFonts w:cs="Arial"/>
          <w:b/>
        </w:rPr>
      </w:pPr>
      <w:r w:rsidRPr="00F949FD">
        <w:rPr>
          <w:rFonts w:cs="Arial"/>
          <w:b/>
        </w:rPr>
        <w:t>Kwalifikacje językowe</w:t>
      </w:r>
      <w:r w:rsidR="002B5A7C">
        <w:rPr>
          <w:rFonts w:cs="Arial"/>
          <w:b/>
        </w:rPr>
        <w:t xml:space="preserve"> – </w:t>
      </w:r>
      <w:r w:rsidRPr="002B5A7C">
        <w:rPr>
          <w:rFonts w:cs="Arial"/>
        </w:rPr>
        <w:t>Certyfikaty potwierdzające znajomość języków obcych wg klasyfikacji „</w:t>
      </w:r>
      <w:proofErr w:type="spellStart"/>
      <w:r w:rsidRPr="002B5A7C">
        <w:rPr>
          <w:rFonts w:cs="Arial"/>
        </w:rPr>
        <w:t>Common</w:t>
      </w:r>
      <w:proofErr w:type="spellEnd"/>
      <w:r w:rsidRPr="002B5A7C">
        <w:rPr>
          <w:rFonts w:cs="Arial"/>
        </w:rPr>
        <w:t xml:space="preserve"> </w:t>
      </w:r>
      <w:proofErr w:type="spellStart"/>
      <w:r w:rsidRPr="002B5A7C">
        <w:rPr>
          <w:rFonts w:cs="Arial"/>
        </w:rPr>
        <w:t>European</w:t>
      </w:r>
      <w:proofErr w:type="spellEnd"/>
      <w:r w:rsidRPr="002B5A7C">
        <w:rPr>
          <w:rFonts w:cs="Arial"/>
        </w:rPr>
        <w:t xml:space="preserve"> Framework of Reference for </w:t>
      </w:r>
      <w:proofErr w:type="spellStart"/>
      <w:r w:rsidRPr="002B5A7C">
        <w:rPr>
          <w:rFonts w:cs="Arial"/>
        </w:rPr>
        <w:t>Languages</w:t>
      </w:r>
      <w:proofErr w:type="spellEnd"/>
      <w:r w:rsidRPr="002B5A7C">
        <w:rPr>
          <w:rFonts w:cs="Arial"/>
        </w:rPr>
        <w:t xml:space="preserve">: Learning, </w:t>
      </w:r>
      <w:proofErr w:type="spellStart"/>
      <w:r w:rsidRPr="002B5A7C">
        <w:rPr>
          <w:rFonts w:cs="Arial"/>
        </w:rPr>
        <w:t>Teaching</w:t>
      </w:r>
      <w:proofErr w:type="spellEnd"/>
      <w:r w:rsidRPr="002B5A7C">
        <w:rPr>
          <w:rFonts w:cs="Arial"/>
        </w:rPr>
        <w:t xml:space="preserve">, </w:t>
      </w:r>
      <w:proofErr w:type="spellStart"/>
      <w:r w:rsidRPr="002B5A7C">
        <w:rPr>
          <w:rFonts w:cs="Arial"/>
        </w:rPr>
        <w:t>Assessment</w:t>
      </w:r>
      <w:proofErr w:type="spellEnd"/>
      <w:r w:rsidRPr="002B5A7C">
        <w:rPr>
          <w:rFonts w:cs="Arial"/>
        </w:rPr>
        <w:t>” - „Europejski System Opisu kształcenia językowego: uczenie się, nauczanie, ocenianie”.</w:t>
      </w:r>
    </w:p>
    <w:p w14:paraId="6C64E7B7" w14:textId="4CA17071" w:rsidR="00B8692A" w:rsidRPr="00D52D6C" w:rsidRDefault="00B8692A" w:rsidP="009E064E">
      <w:pPr>
        <w:pStyle w:val="Akapitzlist"/>
        <w:numPr>
          <w:ilvl w:val="0"/>
          <w:numId w:val="24"/>
        </w:numPr>
        <w:ind w:left="283" w:hanging="357"/>
        <w:contextualSpacing w:val="0"/>
        <w:rPr>
          <w:rFonts w:cs="Arial"/>
        </w:rPr>
      </w:pPr>
      <w:r w:rsidRPr="00D52D6C">
        <w:rPr>
          <w:rFonts w:cs="Arial"/>
          <w:b/>
        </w:rPr>
        <w:t>Kwalifikacje zarządzania projektami</w:t>
      </w:r>
      <w:r w:rsidR="00D52D6C">
        <w:rPr>
          <w:rFonts w:cs="Arial"/>
          <w:b/>
        </w:rPr>
        <w:t xml:space="preserve"> – </w:t>
      </w:r>
      <w:r w:rsidRPr="00D52D6C">
        <w:rPr>
          <w:rFonts w:cs="Arial"/>
        </w:rPr>
        <w:t xml:space="preserve">np.: Prince2 Foundation, PRINCE2 </w:t>
      </w:r>
      <w:proofErr w:type="spellStart"/>
      <w:r w:rsidRPr="00D52D6C">
        <w:rPr>
          <w:rFonts w:cs="Arial"/>
        </w:rPr>
        <w:t>Practitioner</w:t>
      </w:r>
      <w:proofErr w:type="spellEnd"/>
      <w:r w:rsidRPr="00D52D6C">
        <w:rPr>
          <w:rFonts w:cs="Arial"/>
        </w:rPr>
        <w:t>, PMI, PMP, PMBOK.</w:t>
      </w:r>
    </w:p>
    <w:p w14:paraId="761A4087" w14:textId="77777777" w:rsidR="00B8692A" w:rsidRPr="00B8692A" w:rsidRDefault="00B8692A" w:rsidP="00B8692A">
      <w:pPr>
        <w:rPr>
          <w:rFonts w:cs="Arial"/>
        </w:rPr>
      </w:pPr>
      <w:r w:rsidRPr="00B8692A">
        <w:rPr>
          <w:rFonts w:cs="Arial"/>
        </w:rPr>
        <w:t>Wykazane powyżej certyfikaty i kwalifikacje stanowią jedynie przykłady i nie należy ich traktować jako zamkniętej listy.</w:t>
      </w:r>
    </w:p>
    <w:p w14:paraId="682A6E5B" w14:textId="77777777" w:rsidR="00B8692A" w:rsidRPr="00F949FD" w:rsidRDefault="00B8692A" w:rsidP="00B8692A">
      <w:pPr>
        <w:rPr>
          <w:rFonts w:cs="Arial"/>
          <w:b/>
        </w:rPr>
      </w:pPr>
      <w:r w:rsidRPr="00F949FD">
        <w:rPr>
          <w:rFonts w:cs="Arial"/>
          <w:b/>
        </w:rPr>
        <w:t>3) Instytucje certyfikujące</w:t>
      </w:r>
    </w:p>
    <w:p w14:paraId="3ED887E1" w14:textId="77777777" w:rsidR="00B8692A" w:rsidRPr="00B8692A" w:rsidRDefault="00B8692A" w:rsidP="00B8692A">
      <w:pPr>
        <w:rPr>
          <w:rFonts w:cs="Arial"/>
        </w:rPr>
      </w:pPr>
      <w:r w:rsidRPr="00B8692A">
        <w:rPr>
          <w:rFonts w:cs="Arial"/>
        </w:rPr>
        <w:t xml:space="preserve">Przez </w:t>
      </w:r>
      <w:r w:rsidRPr="00F949FD">
        <w:rPr>
          <w:rFonts w:cs="Arial"/>
          <w:b/>
        </w:rPr>
        <w:t>instytucję certyfikującą</w:t>
      </w:r>
      <w:r w:rsidRPr="00B8692A">
        <w:rPr>
          <w:rFonts w:cs="Arial"/>
        </w:rPr>
        <w:t xml:space="preserve"> należy rozumieć podmiot, który uzyskał uprawnienia do 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w:t>
      </w:r>
    </w:p>
    <w:p w14:paraId="13E18F05" w14:textId="77777777" w:rsidR="00B8692A" w:rsidRPr="00B8692A" w:rsidRDefault="00B8692A" w:rsidP="00B8692A">
      <w:pPr>
        <w:rPr>
          <w:rFonts w:cs="Arial"/>
        </w:rPr>
      </w:pPr>
      <w:r w:rsidRPr="00B8692A">
        <w:rPr>
          <w:rFonts w:cs="Arial"/>
        </w:rP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sidRPr="00F949FD">
        <w:rPr>
          <w:rFonts w:cs="Arial"/>
          <w:b/>
        </w:rPr>
        <w:t>instytucji walidujących</w:t>
      </w:r>
      <w:r w:rsidRPr="00B8692A">
        <w:rPr>
          <w:rFonts w:cs="Arial"/>
        </w:rPr>
        <w:t>,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w:t>
      </w:r>
    </w:p>
    <w:p w14:paraId="4F3862D8" w14:textId="77777777" w:rsidR="00B8692A" w:rsidRPr="00B8692A" w:rsidRDefault="00B8692A" w:rsidP="00B8692A">
      <w:pPr>
        <w:rPr>
          <w:rFonts w:cs="Arial"/>
        </w:rPr>
      </w:pPr>
      <w:r w:rsidRPr="00B8692A">
        <w:rPr>
          <w:rFonts w:cs="Arial"/>
        </w:rPr>
        <w:t>Aby zapewnić jakość walidacji i certyfikowania, instytucje certyfikujące muszą zapewnić rozdzielenie procesów kształcenia i szkolenia od walidacji (Art.63 ust. 3 pkt 1 ustawy o ZSK).</w:t>
      </w:r>
    </w:p>
    <w:p w14:paraId="4134E2DE" w14:textId="77777777" w:rsidR="00B8692A" w:rsidRPr="00F949FD" w:rsidRDefault="00B8692A" w:rsidP="00CA5704">
      <w:pPr>
        <w:keepNext/>
        <w:keepLines/>
        <w:spacing w:after="100"/>
        <w:rPr>
          <w:rFonts w:cs="Arial"/>
          <w:b/>
        </w:rPr>
      </w:pPr>
      <w:r w:rsidRPr="00F949FD">
        <w:rPr>
          <w:rFonts w:cs="Arial"/>
          <w:b/>
        </w:rPr>
        <w:t>Tabela 3 Przykłady instytucji pełniących rolę instytucji certyfikujących dla różnych kwalifikacji.</w:t>
      </w:r>
    </w:p>
    <w:tbl>
      <w:tblPr>
        <w:tblStyle w:val="Tabela-Siatka"/>
        <w:tblW w:w="0" w:type="auto"/>
        <w:tblLook w:val="04A0" w:firstRow="1" w:lastRow="0" w:firstColumn="1" w:lastColumn="0" w:noHBand="0" w:noVBand="1"/>
      </w:tblPr>
      <w:tblGrid>
        <w:gridCol w:w="3823"/>
        <w:gridCol w:w="5237"/>
      </w:tblGrid>
      <w:tr w:rsidR="001E0C47" w14:paraId="44814BF4" w14:textId="77777777" w:rsidTr="00CB4AC0">
        <w:trPr>
          <w:tblHeader/>
        </w:trPr>
        <w:tc>
          <w:tcPr>
            <w:tcW w:w="3823" w:type="dxa"/>
            <w:shd w:val="clear" w:color="auto" w:fill="D9D9D9" w:themeFill="background1" w:themeFillShade="D9"/>
          </w:tcPr>
          <w:p w14:paraId="24F035CB" w14:textId="77777777" w:rsidR="001E0C47" w:rsidRPr="001E0C47" w:rsidRDefault="001E0C47" w:rsidP="00CA5704">
            <w:pPr>
              <w:keepNext/>
              <w:keepLines/>
              <w:rPr>
                <w:rFonts w:cs="Arial"/>
                <w:b/>
              </w:rPr>
            </w:pPr>
            <w:r w:rsidRPr="001E0C47">
              <w:rPr>
                <w:rFonts w:cs="Arial"/>
                <w:b/>
              </w:rPr>
              <w:t>Nazwa kwalifikacji/uprawnień zawodowych</w:t>
            </w:r>
          </w:p>
        </w:tc>
        <w:tc>
          <w:tcPr>
            <w:tcW w:w="5237" w:type="dxa"/>
            <w:shd w:val="clear" w:color="auto" w:fill="D9D9D9" w:themeFill="background1" w:themeFillShade="D9"/>
          </w:tcPr>
          <w:p w14:paraId="2E4C69BD" w14:textId="0162F13D" w:rsidR="001E0C47" w:rsidRPr="001E0C47" w:rsidRDefault="00EB7EFD" w:rsidP="00CA5704">
            <w:pPr>
              <w:keepNext/>
              <w:keepLines/>
              <w:rPr>
                <w:rFonts w:cs="Arial"/>
                <w:b/>
              </w:rPr>
            </w:pPr>
            <w:r w:rsidRPr="001E0C47">
              <w:rPr>
                <w:rFonts w:cs="Arial"/>
                <w:b/>
              </w:rPr>
              <w:t>Instytucja certyfikująca</w:t>
            </w:r>
          </w:p>
        </w:tc>
      </w:tr>
      <w:tr w:rsidR="001E0C47" w14:paraId="6CD0A418" w14:textId="77777777" w:rsidTr="00CB4AC0">
        <w:tc>
          <w:tcPr>
            <w:tcW w:w="3823" w:type="dxa"/>
          </w:tcPr>
          <w:p w14:paraId="2F4BB6BE" w14:textId="77777777" w:rsidR="001E0C47" w:rsidRDefault="001E0C47" w:rsidP="00CA5704">
            <w:pPr>
              <w:keepNext/>
              <w:keepLines/>
              <w:rPr>
                <w:rFonts w:cs="Arial"/>
              </w:rPr>
            </w:pPr>
            <w:r w:rsidRPr="00B8692A">
              <w:rPr>
                <w:rFonts w:cs="Arial"/>
              </w:rPr>
              <w:t>Kwalifikacje ze szkolnictwa branżowego</w:t>
            </w:r>
          </w:p>
        </w:tc>
        <w:tc>
          <w:tcPr>
            <w:tcW w:w="5237" w:type="dxa"/>
          </w:tcPr>
          <w:p w14:paraId="06AE6E78" w14:textId="77777777" w:rsidR="001E0C47" w:rsidRDefault="001E0C47" w:rsidP="00B8692A">
            <w:pPr>
              <w:rPr>
                <w:rFonts w:cs="Arial"/>
              </w:rPr>
            </w:pPr>
            <w:r w:rsidRPr="00B8692A">
              <w:rPr>
                <w:rFonts w:cs="Arial"/>
              </w:rPr>
              <w:t>Okręgowe Komisje Egzaminacyjne</w:t>
            </w:r>
          </w:p>
        </w:tc>
      </w:tr>
      <w:tr w:rsidR="001E0C47" w14:paraId="5C70CA7C" w14:textId="77777777" w:rsidTr="00CB4AC0">
        <w:tc>
          <w:tcPr>
            <w:tcW w:w="3823" w:type="dxa"/>
          </w:tcPr>
          <w:p w14:paraId="385F1181" w14:textId="64A5F14E" w:rsidR="001E0C47" w:rsidRDefault="001E0C47" w:rsidP="00B8692A">
            <w:pPr>
              <w:rPr>
                <w:rFonts w:cs="Arial"/>
              </w:rPr>
            </w:pPr>
            <w:r w:rsidRPr="00B8692A">
              <w:rPr>
                <w:rFonts w:cs="Arial"/>
              </w:rPr>
              <w:t>Kwalifikacje rzemieślnicze</w:t>
            </w:r>
          </w:p>
        </w:tc>
        <w:tc>
          <w:tcPr>
            <w:tcW w:w="5237" w:type="dxa"/>
          </w:tcPr>
          <w:p w14:paraId="322F5230" w14:textId="77777777" w:rsidR="001E0C47" w:rsidRDefault="001E0C47" w:rsidP="00B8692A">
            <w:pPr>
              <w:rPr>
                <w:rFonts w:cs="Arial"/>
              </w:rPr>
            </w:pPr>
            <w:r w:rsidRPr="00B8692A">
              <w:rPr>
                <w:rFonts w:cs="Arial"/>
              </w:rPr>
              <w:t>Izby rzemieślnicze (Egzaminy przeprowadzają komisje egzaminacyjne izb rzemieślniczych)</w:t>
            </w:r>
          </w:p>
        </w:tc>
      </w:tr>
      <w:tr w:rsidR="001E0C47" w14:paraId="382BB966" w14:textId="77777777" w:rsidTr="00CB4AC0">
        <w:tc>
          <w:tcPr>
            <w:tcW w:w="3823" w:type="dxa"/>
          </w:tcPr>
          <w:p w14:paraId="333EDC5E" w14:textId="4D273273" w:rsidR="001E0C47" w:rsidRDefault="001E0C47" w:rsidP="00B8692A">
            <w:pPr>
              <w:rPr>
                <w:rFonts w:cs="Arial"/>
              </w:rPr>
            </w:pPr>
            <w:r w:rsidRPr="00B8692A">
              <w:rPr>
                <w:rFonts w:cs="Arial"/>
              </w:rPr>
              <w:t>ECDL</w:t>
            </w:r>
          </w:p>
        </w:tc>
        <w:tc>
          <w:tcPr>
            <w:tcW w:w="5237" w:type="dxa"/>
          </w:tcPr>
          <w:p w14:paraId="0D98C0DE" w14:textId="77777777" w:rsidR="001E0C47" w:rsidRDefault="001E0C47" w:rsidP="00B8692A">
            <w:pPr>
              <w:rPr>
                <w:rFonts w:cs="Arial"/>
              </w:rPr>
            </w:pPr>
            <w:r w:rsidRPr="00B8692A">
              <w:rPr>
                <w:rFonts w:cs="Arial"/>
              </w:rPr>
              <w:t>Polskie Towarzystwo Informatyczne (Egzaminy przeprowadzają Centra Egzaminacyjne akredytowane przez PTI)</w:t>
            </w:r>
          </w:p>
        </w:tc>
      </w:tr>
      <w:tr w:rsidR="001E0C47" w14:paraId="115227AD" w14:textId="77777777" w:rsidTr="00CB4AC0">
        <w:tc>
          <w:tcPr>
            <w:tcW w:w="3823" w:type="dxa"/>
          </w:tcPr>
          <w:p w14:paraId="0074531A" w14:textId="77777777" w:rsidR="001E0C47" w:rsidRDefault="001E0C47" w:rsidP="00B8692A">
            <w:pPr>
              <w:rPr>
                <w:rFonts w:cs="Arial"/>
              </w:rPr>
            </w:pPr>
            <w:r w:rsidRPr="00B8692A">
              <w:rPr>
                <w:rFonts w:cs="Arial"/>
              </w:rPr>
              <w:t>Pilotowanie imprez turystycznych</w:t>
            </w:r>
          </w:p>
        </w:tc>
        <w:tc>
          <w:tcPr>
            <w:tcW w:w="5237" w:type="dxa"/>
          </w:tcPr>
          <w:p w14:paraId="09A4C625" w14:textId="77777777" w:rsidR="001E0C47" w:rsidRDefault="001E0C47" w:rsidP="00B8692A">
            <w:pPr>
              <w:rPr>
                <w:rFonts w:cs="Arial"/>
              </w:rPr>
            </w:pPr>
            <w:r w:rsidRPr="00B8692A">
              <w:rPr>
                <w:rFonts w:cs="Arial"/>
              </w:rPr>
              <w:t>Kadry Turystyki Sp. z o.o.</w:t>
            </w:r>
          </w:p>
        </w:tc>
      </w:tr>
      <w:tr w:rsidR="001E0C47" w14:paraId="6B3963E1" w14:textId="77777777" w:rsidTr="00CB4AC0">
        <w:tc>
          <w:tcPr>
            <w:tcW w:w="3823" w:type="dxa"/>
          </w:tcPr>
          <w:p w14:paraId="0F509831" w14:textId="73C73BF1" w:rsidR="001E0C47" w:rsidRDefault="001E0C47" w:rsidP="00B8692A">
            <w:pPr>
              <w:rPr>
                <w:rFonts w:cs="Arial"/>
              </w:rPr>
            </w:pPr>
            <w:r w:rsidRPr="00B8692A">
              <w:rPr>
                <w:rFonts w:cs="Arial"/>
              </w:rPr>
              <w:t>Certyfikat umiejętności komputerowych - poziom podstawowy</w:t>
            </w:r>
          </w:p>
        </w:tc>
        <w:tc>
          <w:tcPr>
            <w:tcW w:w="5237" w:type="dxa"/>
          </w:tcPr>
          <w:p w14:paraId="21EB4437" w14:textId="77777777" w:rsidR="001E0C47" w:rsidRPr="00B8692A" w:rsidRDefault="001E0C47" w:rsidP="00EB7EFD">
            <w:pPr>
              <w:spacing w:before="60"/>
              <w:rPr>
                <w:rFonts w:cs="Arial"/>
              </w:rPr>
            </w:pPr>
            <w:r w:rsidRPr="00B8692A">
              <w:rPr>
                <w:rFonts w:cs="Arial"/>
              </w:rPr>
              <w:t>Polskie Towarzystwo Informatyczne</w:t>
            </w:r>
          </w:p>
          <w:p w14:paraId="59A4BAD9" w14:textId="77777777" w:rsidR="001E0C47" w:rsidRPr="00B8692A" w:rsidRDefault="001E0C47" w:rsidP="00EB7EFD">
            <w:pPr>
              <w:spacing w:before="60"/>
              <w:rPr>
                <w:rFonts w:cs="Arial"/>
              </w:rPr>
            </w:pPr>
            <w:r w:rsidRPr="00B8692A">
              <w:rPr>
                <w:rFonts w:cs="Arial"/>
              </w:rPr>
              <w:t>Dariusz Zaremba Centrum Kształcenia Ustawicznego PROFESJA w Krotoszynie</w:t>
            </w:r>
          </w:p>
          <w:p w14:paraId="1FA0F641" w14:textId="77777777" w:rsidR="001E0C47" w:rsidRPr="00B8692A" w:rsidRDefault="001E0C47" w:rsidP="00EB7EFD">
            <w:pPr>
              <w:spacing w:before="60"/>
              <w:rPr>
                <w:rFonts w:cs="Arial"/>
              </w:rPr>
            </w:pPr>
            <w:r w:rsidRPr="00B8692A">
              <w:rPr>
                <w:rFonts w:cs="Arial"/>
              </w:rPr>
              <w:t>Fundacja VCC</w:t>
            </w:r>
          </w:p>
          <w:p w14:paraId="7D13EE7B" w14:textId="77777777" w:rsidR="001E0C47" w:rsidRPr="00B8692A" w:rsidRDefault="001E0C47" w:rsidP="00EB7EFD">
            <w:pPr>
              <w:spacing w:before="60"/>
              <w:rPr>
                <w:rFonts w:cs="Arial"/>
              </w:rPr>
            </w:pPr>
            <w:proofErr w:type="spellStart"/>
            <w:r w:rsidRPr="00B8692A">
              <w:rPr>
                <w:rFonts w:cs="Arial"/>
              </w:rPr>
              <w:t>ITpass</w:t>
            </w:r>
            <w:proofErr w:type="spellEnd"/>
            <w:r w:rsidRPr="00B8692A">
              <w:rPr>
                <w:rFonts w:cs="Arial"/>
              </w:rPr>
              <w:t xml:space="preserve"> sp. z o.o.</w:t>
            </w:r>
          </w:p>
          <w:p w14:paraId="00B0E0D8" w14:textId="77777777" w:rsidR="001E0C47" w:rsidRPr="00B8692A" w:rsidRDefault="001E0C47" w:rsidP="00EB7EFD">
            <w:pPr>
              <w:spacing w:before="60"/>
              <w:rPr>
                <w:rFonts w:cs="Arial"/>
              </w:rPr>
            </w:pPr>
            <w:r w:rsidRPr="00B8692A">
              <w:rPr>
                <w:rFonts w:cs="Arial"/>
              </w:rPr>
              <w:t>Fundacja Europa House</w:t>
            </w:r>
          </w:p>
          <w:p w14:paraId="1CAE7133" w14:textId="77777777" w:rsidR="001E0C47" w:rsidRDefault="001E0C47" w:rsidP="00EB7EFD">
            <w:pPr>
              <w:spacing w:before="60"/>
              <w:rPr>
                <w:rFonts w:cs="Arial"/>
              </w:rPr>
            </w:pPr>
            <w:r w:rsidRPr="00B8692A">
              <w:rPr>
                <w:rFonts w:cs="Arial"/>
              </w:rPr>
              <w:t>ICVC CERTYFIKACJA sp. z o.o.</w:t>
            </w:r>
          </w:p>
        </w:tc>
      </w:tr>
      <w:tr w:rsidR="001E0C47" w14:paraId="4911B42A" w14:textId="77777777" w:rsidTr="00CB4AC0">
        <w:tc>
          <w:tcPr>
            <w:tcW w:w="3823" w:type="dxa"/>
          </w:tcPr>
          <w:p w14:paraId="51CE9F8F" w14:textId="3D538868" w:rsidR="001E0C47" w:rsidRDefault="001E0C47" w:rsidP="001E0C47">
            <w:pPr>
              <w:rPr>
                <w:rFonts w:cs="Arial"/>
              </w:rPr>
            </w:pPr>
            <w:r w:rsidRPr="00B8692A">
              <w:rPr>
                <w:rFonts w:cs="Arial"/>
              </w:rPr>
              <w:t>Serwis napojów mieszanych i alkoholi</w:t>
            </w:r>
          </w:p>
        </w:tc>
        <w:tc>
          <w:tcPr>
            <w:tcW w:w="5237" w:type="dxa"/>
          </w:tcPr>
          <w:p w14:paraId="7ECC1799" w14:textId="77777777" w:rsidR="001E0C47" w:rsidRPr="00B8692A" w:rsidRDefault="001E0C47" w:rsidP="001E0C47">
            <w:pPr>
              <w:rPr>
                <w:rFonts w:cs="Arial"/>
              </w:rPr>
            </w:pPr>
            <w:r w:rsidRPr="00B8692A">
              <w:rPr>
                <w:rFonts w:cs="Arial"/>
              </w:rPr>
              <w:t>Centrum Szkolenia Barmanów Jerzy Czapla</w:t>
            </w:r>
          </w:p>
          <w:p w14:paraId="76B242F0" w14:textId="77777777" w:rsidR="001E0C47" w:rsidRPr="00B8692A" w:rsidRDefault="001E0C47" w:rsidP="001E0C47">
            <w:pPr>
              <w:rPr>
                <w:rFonts w:cs="Arial"/>
              </w:rPr>
            </w:pPr>
            <w:r w:rsidRPr="00B8692A">
              <w:rPr>
                <w:rFonts w:cs="Arial"/>
              </w:rPr>
              <w:t>Fundacja VCC</w:t>
            </w:r>
          </w:p>
          <w:p w14:paraId="2FBEE2DB" w14:textId="77777777" w:rsidR="001E0C47" w:rsidRDefault="001E0C47" w:rsidP="00B8692A">
            <w:pPr>
              <w:rPr>
                <w:rFonts w:cs="Arial"/>
              </w:rPr>
            </w:pPr>
            <w:r w:rsidRPr="00B8692A">
              <w:rPr>
                <w:rFonts w:cs="Arial"/>
              </w:rPr>
              <w:t>Fundacja Wiedza Umiejętność Rozwój</w:t>
            </w:r>
          </w:p>
        </w:tc>
      </w:tr>
      <w:tr w:rsidR="001E0C47" w14:paraId="2A3FB7F5" w14:textId="77777777" w:rsidTr="00CB4AC0">
        <w:tc>
          <w:tcPr>
            <w:tcW w:w="3823" w:type="dxa"/>
          </w:tcPr>
          <w:p w14:paraId="47398979" w14:textId="77777777" w:rsidR="001E0C47" w:rsidRDefault="001E0C47" w:rsidP="00B8692A">
            <w:pPr>
              <w:rPr>
                <w:rFonts w:cs="Arial"/>
              </w:rPr>
            </w:pPr>
            <w:r w:rsidRPr="00B8692A">
              <w:rPr>
                <w:rFonts w:cs="Arial"/>
              </w:rPr>
              <w:t>Zarządzanie procesami płacowymi</w:t>
            </w:r>
          </w:p>
        </w:tc>
        <w:tc>
          <w:tcPr>
            <w:tcW w:w="5237" w:type="dxa"/>
          </w:tcPr>
          <w:p w14:paraId="055BB51C" w14:textId="77777777" w:rsidR="001E0C47" w:rsidRDefault="001E0C47" w:rsidP="00B8692A">
            <w:pPr>
              <w:rPr>
                <w:rFonts w:cs="Arial"/>
              </w:rPr>
            </w:pPr>
            <w:r w:rsidRPr="00B8692A">
              <w:rPr>
                <w:rFonts w:cs="Arial"/>
              </w:rPr>
              <w:t>Stowarzyszenie Księgowych w Polsce</w:t>
            </w:r>
          </w:p>
        </w:tc>
      </w:tr>
      <w:tr w:rsidR="001E0C47" w14:paraId="6D3A7C75" w14:textId="77777777" w:rsidTr="00CB4AC0">
        <w:tc>
          <w:tcPr>
            <w:tcW w:w="3823" w:type="dxa"/>
          </w:tcPr>
          <w:p w14:paraId="6981021A" w14:textId="25A9D6AE" w:rsidR="001E0C47" w:rsidRPr="00B8692A" w:rsidRDefault="001E0C47" w:rsidP="00B8692A">
            <w:pPr>
              <w:rPr>
                <w:rFonts w:cs="Arial"/>
              </w:rPr>
            </w:pPr>
            <w:r w:rsidRPr="00B8692A">
              <w:rPr>
                <w:rFonts w:cs="Arial"/>
              </w:rPr>
              <w:t>Prowadzenie mediacji sądowych i</w:t>
            </w:r>
            <w:r w:rsidR="00443DF8">
              <w:rPr>
                <w:rFonts w:cs="Arial"/>
              </w:rPr>
              <w:t> p</w:t>
            </w:r>
            <w:r w:rsidRPr="00B8692A">
              <w:rPr>
                <w:rFonts w:cs="Arial"/>
              </w:rPr>
              <w:t>ozasądowych w sprawach rodzinnych</w:t>
            </w:r>
          </w:p>
        </w:tc>
        <w:tc>
          <w:tcPr>
            <w:tcW w:w="5237" w:type="dxa"/>
          </w:tcPr>
          <w:p w14:paraId="153A7FF5" w14:textId="77777777" w:rsidR="001E0C47" w:rsidRPr="00B8692A" w:rsidRDefault="001E0C47" w:rsidP="001E0C47">
            <w:pPr>
              <w:rPr>
                <w:rFonts w:cs="Arial"/>
              </w:rPr>
            </w:pPr>
            <w:r w:rsidRPr="00B8692A">
              <w:rPr>
                <w:rFonts w:cs="Arial"/>
              </w:rPr>
              <w:t>Stowarzyszenie Mediatorów Rodzinnych</w:t>
            </w:r>
          </w:p>
          <w:p w14:paraId="004B8BB0" w14:textId="77777777" w:rsidR="001E0C47" w:rsidRPr="00B8692A" w:rsidRDefault="001E0C47" w:rsidP="00B8692A">
            <w:pPr>
              <w:rPr>
                <w:rFonts w:cs="Arial"/>
              </w:rPr>
            </w:pPr>
            <w:r w:rsidRPr="00B8692A">
              <w:rPr>
                <w:rFonts w:cs="Arial"/>
              </w:rPr>
              <w:t>Polskie Centrum Mediacji</w:t>
            </w:r>
          </w:p>
        </w:tc>
      </w:tr>
      <w:tr w:rsidR="001E0C47" w14:paraId="48019439" w14:textId="77777777" w:rsidTr="00CB4AC0">
        <w:tc>
          <w:tcPr>
            <w:tcW w:w="3823" w:type="dxa"/>
          </w:tcPr>
          <w:p w14:paraId="6F68A098" w14:textId="48A4E15C" w:rsidR="001E0C47" w:rsidRPr="00B8692A" w:rsidRDefault="001E0C47" w:rsidP="00B8692A">
            <w:pPr>
              <w:rPr>
                <w:rFonts w:cs="Arial"/>
              </w:rPr>
            </w:pPr>
            <w:r w:rsidRPr="00B8692A">
              <w:rPr>
                <w:rFonts w:cs="Arial"/>
              </w:rPr>
              <w:t>Prowadzenie terapii środowiskowej dzieci i</w:t>
            </w:r>
            <w:r w:rsidR="00443DF8">
              <w:rPr>
                <w:rFonts w:cs="Arial"/>
              </w:rPr>
              <w:t> </w:t>
            </w:r>
            <w:r w:rsidRPr="00B8692A">
              <w:rPr>
                <w:rFonts w:cs="Arial"/>
              </w:rPr>
              <w:t>młodzieży</w:t>
            </w:r>
          </w:p>
        </w:tc>
        <w:tc>
          <w:tcPr>
            <w:tcW w:w="5237" w:type="dxa"/>
          </w:tcPr>
          <w:p w14:paraId="1BE5E361" w14:textId="3971EDE7" w:rsidR="001E0C47" w:rsidRPr="00B8692A" w:rsidRDefault="001E0C47" w:rsidP="001E0C47">
            <w:pPr>
              <w:rPr>
                <w:rFonts w:cs="Arial"/>
              </w:rPr>
            </w:pPr>
            <w:r w:rsidRPr="00B8692A">
              <w:rPr>
                <w:rFonts w:cs="Arial"/>
              </w:rPr>
              <w:t>Uniwersytet Kardynała Stefana Wyszyńskiego w</w:t>
            </w:r>
            <w:r w:rsidR="00443DF8">
              <w:rPr>
                <w:rFonts w:cs="Arial"/>
              </w:rPr>
              <w:t> </w:t>
            </w:r>
            <w:r w:rsidRPr="00B8692A">
              <w:rPr>
                <w:rFonts w:cs="Arial"/>
              </w:rPr>
              <w:t>Warszawie</w:t>
            </w:r>
          </w:p>
          <w:p w14:paraId="5D50B2F7" w14:textId="77777777" w:rsidR="001E0C47" w:rsidRPr="00B8692A" w:rsidRDefault="001E0C47" w:rsidP="001E0C47">
            <w:pPr>
              <w:rPr>
                <w:rFonts w:cs="Arial"/>
              </w:rPr>
            </w:pPr>
            <w:r w:rsidRPr="00B8692A">
              <w:rPr>
                <w:rFonts w:cs="Arial"/>
              </w:rPr>
              <w:t>Centrum CBT EDU Sp. z o.o.</w:t>
            </w:r>
          </w:p>
          <w:p w14:paraId="7BEE8671" w14:textId="77777777" w:rsidR="001E0C47" w:rsidRPr="00B8692A" w:rsidRDefault="001E0C47" w:rsidP="001E0C47">
            <w:pPr>
              <w:rPr>
                <w:rFonts w:cs="Arial"/>
              </w:rPr>
            </w:pPr>
            <w:r w:rsidRPr="00B8692A">
              <w:rPr>
                <w:rFonts w:cs="Arial"/>
              </w:rPr>
              <w:t>Grażyna Strączek Krakowski Instytut Rozwoju Edukacji</w:t>
            </w:r>
          </w:p>
          <w:p w14:paraId="08A89FA8" w14:textId="77777777" w:rsidR="001E0C47" w:rsidRPr="00B8692A" w:rsidRDefault="001E0C47" w:rsidP="00B8692A">
            <w:pPr>
              <w:rPr>
                <w:rFonts w:cs="Arial"/>
              </w:rPr>
            </w:pPr>
            <w:r w:rsidRPr="00B8692A">
              <w:rPr>
                <w:rFonts w:cs="Arial"/>
              </w:rPr>
              <w:t>Samodzielny Publiczny Zakład Opieki Zdrowotnej Szpital Uniwersytecki w Krakowie</w:t>
            </w:r>
          </w:p>
        </w:tc>
      </w:tr>
      <w:tr w:rsidR="001E0C47" w14:paraId="414913DA" w14:textId="77777777" w:rsidTr="00CB4AC0">
        <w:tc>
          <w:tcPr>
            <w:tcW w:w="3823" w:type="dxa"/>
          </w:tcPr>
          <w:p w14:paraId="7FA01E47" w14:textId="77777777" w:rsidR="001E0C47" w:rsidRPr="00B8692A" w:rsidRDefault="001E0C47" w:rsidP="00B8692A">
            <w:pPr>
              <w:rPr>
                <w:rFonts w:cs="Arial"/>
              </w:rPr>
            </w:pPr>
            <w:r w:rsidRPr="00B8692A">
              <w:rPr>
                <w:rFonts w:cs="Arial"/>
              </w:rPr>
              <w:t>Licencje lotnicze</w:t>
            </w:r>
          </w:p>
        </w:tc>
        <w:tc>
          <w:tcPr>
            <w:tcW w:w="5237" w:type="dxa"/>
          </w:tcPr>
          <w:p w14:paraId="3CB68640" w14:textId="77777777" w:rsidR="001E0C47" w:rsidRPr="00B8692A" w:rsidRDefault="001E0C47" w:rsidP="00B8692A">
            <w:pPr>
              <w:rPr>
                <w:rFonts w:cs="Arial"/>
              </w:rPr>
            </w:pPr>
            <w:r w:rsidRPr="00B8692A">
              <w:rPr>
                <w:rFonts w:cs="Arial"/>
              </w:rPr>
              <w:t>Urząd Lotnictwa Cywilnego</w:t>
            </w:r>
          </w:p>
        </w:tc>
      </w:tr>
      <w:tr w:rsidR="001E0C47" w14:paraId="0CAAC021" w14:textId="77777777" w:rsidTr="00CB4AC0">
        <w:tc>
          <w:tcPr>
            <w:tcW w:w="3823" w:type="dxa"/>
          </w:tcPr>
          <w:p w14:paraId="2B8B5A6E" w14:textId="489E8547" w:rsidR="001E0C47" w:rsidRPr="00B8692A" w:rsidRDefault="001E0C47" w:rsidP="00B8692A">
            <w:pPr>
              <w:rPr>
                <w:rFonts w:cs="Arial"/>
              </w:rPr>
            </w:pPr>
            <w:r w:rsidRPr="00B8692A">
              <w:rPr>
                <w:rFonts w:cs="Arial"/>
              </w:rPr>
              <w:t>Kwalifikacje w sektorze bankowym i</w:t>
            </w:r>
            <w:r w:rsidR="00443DF8">
              <w:rPr>
                <w:rFonts w:cs="Arial"/>
              </w:rPr>
              <w:t> </w:t>
            </w:r>
            <w:r w:rsidRPr="00B8692A">
              <w:rPr>
                <w:rFonts w:cs="Arial"/>
              </w:rPr>
              <w:t>finansowym</w:t>
            </w:r>
          </w:p>
        </w:tc>
        <w:tc>
          <w:tcPr>
            <w:tcW w:w="5237" w:type="dxa"/>
          </w:tcPr>
          <w:p w14:paraId="0222D0A3" w14:textId="1B051E72" w:rsidR="001E0C47" w:rsidRPr="00B8692A" w:rsidRDefault="001E0C47" w:rsidP="00B8692A">
            <w:pPr>
              <w:rPr>
                <w:rFonts w:cs="Arial"/>
              </w:rPr>
            </w:pPr>
            <w:r w:rsidRPr="00B8692A">
              <w:rPr>
                <w:rFonts w:cs="Arial"/>
              </w:rPr>
              <w:t>Warszawski Instytut Bankowości</w:t>
            </w:r>
          </w:p>
        </w:tc>
      </w:tr>
      <w:tr w:rsidR="001E0C47" w14:paraId="317B9F5C" w14:textId="77777777" w:rsidTr="00CB4AC0">
        <w:tc>
          <w:tcPr>
            <w:tcW w:w="3823" w:type="dxa"/>
          </w:tcPr>
          <w:p w14:paraId="52044151" w14:textId="78666F9E" w:rsidR="001E0C47" w:rsidRPr="00B8692A" w:rsidRDefault="001E0C47" w:rsidP="001E0C47">
            <w:pPr>
              <w:rPr>
                <w:rFonts w:cs="Arial"/>
              </w:rPr>
            </w:pPr>
            <w:r w:rsidRPr="00B8692A">
              <w:rPr>
                <w:rFonts w:cs="Arial"/>
              </w:rPr>
              <w:t>Uprawnienia budowlane</w:t>
            </w:r>
          </w:p>
        </w:tc>
        <w:tc>
          <w:tcPr>
            <w:tcW w:w="5237" w:type="dxa"/>
          </w:tcPr>
          <w:p w14:paraId="084A9D27" w14:textId="77777777" w:rsidR="001E0C47" w:rsidRPr="00B8692A" w:rsidRDefault="001E0C47" w:rsidP="001E0C47">
            <w:pPr>
              <w:rPr>
                <w:rFonts w:cs="Arial"/>
              </w:rPr>
            </w:pPr>
            <w:r w:rsidRPr="00B8692A">
              <w:rPr>
                <w:rFonts w:cs="Arial"/>
              </w:rPr>
              <w:t>Okręgowa Komisja Kwalifikacyjna Polskiej Izby Inżynierów Budownictwa</w:t>
            </w:r>
          </w:p>
        </w:tc>
      </w:tr>
      <w:tr w:rsidR="001E0C47" w14:paraId="7157D7D1" w14:textId="77777777" w:rsidTr="00CB4AC0">
        <w:tc>
          <w:tcPr>
            <w:tcW w:w="3823" w:type="dxa"/>
          </w:tcPr>
          <w:p w14:paraId="6E9D5D1E" w14:textId="77777777" w:rsidR="001E0C47" w:rsidRPr="00B8692A" w:rsidRDefault="001E0C47" w:rsidP="001E0C47">
            <w:pPr>
              <w:rPr>
                <w:rFonts w:cs="Arial"/>
              </w:rPr>
            </w:pPr>
            <w:r w:rsidRPr="00B8692A">
              <w:rPr>
                <w:rFonts w:cs="Arial"/>
              </w:rPr>
              <w:t>Uprawnienia budowlane w telekomunikacji</w:t>
            </w:r>
          </w:p>
        </w:tc>
        <w:tc>
          <w:tcPr>
            <w:tcW w:w="5237" w:type="dxa"/>
          </w:tcPr>
          <w:p w14:paraId="260A39CB" w14:textId="77777777" w:rsidR="001E0C47" w:rsidRPr="00B8692A" w:rsidRDefault="001E0C47" w:rsidP="001E0C47">
            <w:pPr>
              <w:rPr>
                <w:rFonts w:cs="Arial"/>
              </w:rPr>
            </w:pPr>
            <w:r w:rsidRPr="00B8692A">
              <w:rPr>
                <w:rFonts w:cs="Arial"/>
              </w:rPr>
              <w:t>Stowarzyszenie Budowniczych Telekomunikacji</w:t>
            </w:r>
          </w:p>
        </w:tc>
      </w:tr>
      <w:tr w:rsidR="001E0C47" w14:paraId="6000B230" w14:textId="77777777" w:rsidTr="00CB4AC0">
        <w:tc>
          <w:tcPr>
            <w:tcW w:w="3823" w:type="dxa"/>
          </w:tcPr>
          <w:p w14:paraId="51FF5A2C" w14:textId="77777777" w:rsidR="001E0C47" w:rsidRPr="00B8692A" w:rsidRDefault="001E0C47" w:rsidP="001E0C47">
            <w:pPr>
              <w:rPr>
                <w:rFonts w:cs="Arial"/>
              </w:rPr>
            </w:pPr>
            <w:r w:rsidRPr="00B8692A">
              <w:rPr>
                <w:rFonts w:cs="Arial"/>
              </w:rPr>
              <w:t>Specjalizacje lekarskie</w:t>
            </w:r>
          </w:p>
        </w:tc>
        <w:tc>
          <w:tcPr>
            <w:tcW w:w="5237" w:type="dxa"/>
          </w:tcPr>
          <w:p w14:paraId="4C331D87" w14:textId="77777777" w:rsidR="001E0C47" w:rsidRPr="00B8692A" w:rsidRDefault="001E0C47" w:rsidP="001E0C47">
            <w:pPr>
              <w:rPr>
                <w:rFonts w:cs="Arial"/>
              </w:rPr>
            </w:pPr>
            <w:r w:rsidRPr="00B8692A">
              <w:rPr>
                <w:rFonts w:cs="Arial"/>
              </w:rPr>
              <w:t>Centrum Egzaminów Medycznych</w:t>
            </w:r>
          </w:p>
        </w:tc>
      </w:tr>
      <w:tr w:rsidR="001E0C47" w14:paraId="21DF1F35" w14:textId="77777777" w:rsidTr="00CB4AC0">
        <w:tc>
          <w:tcPr>
            <w:tcW w:w="3823" w:type="dxa"/>
          </w:tcPr>
          <w:p w14:paraId="1D0875B1" w14:textId="0CD50181" w:rsidR="001E0C47" w:rsidRPr="00B8692A" w:rsidRDefault="001E0C47" w:rsidP="001E0C47">
            <w:pPr>
              <w:rPr>
                <w:rFonts w:cs="Arial"/>
              </w:rPr>
            </w:pPr>
            <w:r w:rsidRPr="00B8692A">
              <w:rPr>
                <w:rFonts w:cs="Arial"/>
              </w:rPr>
              <w:t>Dyplomowany księgowy</w:t>
            </w:r>
          </w:p>
        </w:tc>
        <w:tc>
          <w:tcPr>
            <w:tcW w:w="5237" w:type="dxa"/>
          </w:tcPr>
          <w:p w14:paraId="6897C7F6" w14:textId="77777777" w:rsidR="001E0C47" w:rsidRPr="00B8692A" w:rsidRDefault="001E0C47" w:rsidP="001E0C47">
            <w:pPr>
              <w:rPr>
                <w:rFonts w:cs="Arial"/>
              </w:rPr>
            </w:pPr>
            <w:r w:rsidRPr="00B8692A">
              <w:rPr>
                <w:rFonts w:cs="Arial"/>
              </w:rPr>
              <w:t>Stowarzyszenie Księgowych w Polsce (Egzaminy przeprowadzają Oddziały Okręgowe Stowarzyszenia Księgowych w Polsce)</w:t>
            </w:r>
          </w:p>
        </w:tc>
      </w:tr>
      <w:tr w:rsidR="001E0C47" w14:paraId="5F8E02D8" w14:textId="77777777" w:rsidTr="00CB4AC0">
        <w:tc>
          <w:tcPr>
            <w:tcW w:w="3823" w:type="dxa"/>
          </w:tcPr>
          <w:p w14:paraId="758B7D2C" w14:textId="62A76423" w:rsidR="001E0C47" w:rsidRPr="00B8692A" w:rsidRDefault="001E0C47" w:rsidP="001E0C47">
            <w:pPr>
              <w:rPr>
                <w:rFonts w:cs="Arial"/>
              </w:rPr>
            </w:pPr>
            <w:r w:rsidRPr="00B8692A">
              <w:rPr>
                <w:rFonts w:cs="Arial"/>
              </w:rPr>
              <w:t>Trener Organizacji Pozarządowych</w:t>
            </w:r>
          </w:p>
        </w:tc>
        <w:tc>
          <w:tcPr>
            <w:tcW w:w="5237" w:type="dxa"/>
          </w:tcPr>
          <w:p w14:paraId="034DED1C" w14:textId="77777777" w:rsidR="001E0C47" w:rsidRPr="00B8692A" w:rsidRDefault="001E0C47" w:rsidP="001E0C47">
            <w:pPr>
              <w:rPr>
                <w:rFonts w:cs="Arial"/>
              </w:rPr>
            </w:pPr>
            <w:r w:rsidRPr="00B8692A">
              <w:rPr>
                <w:rFonts w:cs="Arial"/>
              </w:rPr>
              <w:t>Stowarzyszenie Trenerów Organizacji Pozarządowych</w:t>
            </w:r>
          </w:p>
        </w:tc>
      </w:tr>
      <w:tr w:rsidR="001E0C47" w14:paraId="2E161752" w14:textId="77777777" w:rsidTr="00CB4AC0">
        <w:tc>
          <w:tcPr>
            <w:tcW w:w="3823" w:type="dxa"/>
          </w:tcPr>
          <w:p w14:paraId="0C934C18" w14:textId="4AB98E59" w:rsidR="001E0C47" w:rsidRPr="00B8692A" w:rsidRDefault="001E0C47" w:rsidP="001E0C47">
            <w:pPr>
              <w:rPr>
                <w:rFonts w:cs="Arial"/>
              </w:rPr>
            </w:pPr>
            <w:r w:rsidRPr="00B8692A">
              <w:rPr>
                <w:rFonts w:cs="Arial"/>
              </w:rPr>
              <w:t>Prawo jazdy (wszystkie kategorie)</w:t>
            </w:r>
          </w:p>
        </w:tc>
        <w:tc>
          <w:tcPr>
            <w:tcW w:w="5237" w:type="dxa"/>
          </w:tcPr>
          <w:p w14:paraId="09DAE87F" w14:textId="77777777" w:rsidR="001E0C47" w:rsidRPr="00B8692A" w:rsidRDefault="001E0C47" w:rsidP="001E0C47">
            <w:pPr>
              <w:rPr>
                <w:rFonts w:cs="Arial"/>
              </w:rPr>
            </w:pPr>
            <w:r w:rsidRPr="00B8692A">
              <w:rPr>
                <w:rFonts w:cs="Arial"/>
              </w:rPr>
              <w:t>Starosta powiatu/Prezydent miasta (Egzaminy przeprowadza Wojewódzki Ośrodek Ruchu Drogowego)</w:t>
            </w:r>
          </w:p>
        </w:tc>
      </w:tr>
      <w:tr w:rsidR="001E0C47" w14:paraId="651EAEEB" w14:textId="77777777" w:rsidTr="00CB4AC0">
        <w:tc>
          <w:tcPr>
            <w:tcW w:w="3823" w:type="dxa"/>
          </w:tcPr>
          <w:p w14:paraId="20896DB2" w14:textId="77777777" w:rsidR="00552C18" w:rsidRPr="00B8692A" w:rsidRDefault="001E0C47" w:rsidP="001E0C47">
            <w:pPr>
              <w:rPr>
                <w:rFonts w:cs="Arial"/>
              </w:rPr>
            </w:pPr>
            <w:r w:rsidRPr="00B8692A">
              <w:rPr>
                <w:rFonts w:cs="Arial"/>
              </w:rPr>
              <w:t>Obsługa i konserwacja urządzeń technicznych</w:t>
            </w:r>
          </w:p>
        </w:tc>
        <w:tc>
          <w:tcPr>
            <w:tcW w:w="5237" w:type="dxa"/>
          </w:tcPr>
          <w:p w14:paraId="53421563" w14:textId="77777777" w:rsidR="001E0C47" w:rsidRPr="00B8692A" w:rsidRDefault="001E0C47" w:rsidP="001E0C47">
            <w:pPr>
              <w:rPr>
                <w:rFonts w:cs="Arial"/>
              </w:rPr>
            </w:pPr>
            <w:r w:rsidRPr="00B8692A">
              <w:rPr>
                <w:rFonts w:cs="Arial"/>
              </w:rPr>
              <w:t>Urząd Dozoru Technicznego</w:t>
            </w:r>
          </w:p>
          <w:p w14:paraId="293B5AFF" w14:textId="77777777" w:rsidR="001E0C47" w:rsidRPr="00B8692A" w:rsidRDefault="001E0C47" w:rsidP="001E0C47">
            <w:pPr>
              <w:rPr>
                <w:rFonts w:cs="Arial"/>
              </w:rPr>
            </w:pPr>
            <w:r w:rsidRPr="00B8692A">
              <w:rPr>
                <w:rFonts w:cs="Arial"/>
              </w:rPr>
              <w:t>Transportowy Dozór Techniczny</w:t>
            </w:r>
          </w:p>
        </w:tc>
      </w:tr>
      <w:tr w:rsidR="001E0C47" w14:paraId="7D76930F" w14:textId="77777777" w:rsidTr="00CB4AC0">
        <w:tc>
          <w:tcPr>
            <w:tcW w:w="3823" w:type="dxa"/>
          </w:tcPr>
          <w:p w14:paraId="652955BF" w14:textId="77777777" w:rsidR="001E0C47" w:rsidRPr="00B8692A" w:rsidRDefault="001E0C47" w:rsidP="001E0C47">
            <w:pPr>
              <w:rPr>
                <w:rFonts w:cs="Arial"/>
              </w:rPr>
            </w:pPr>
            <w:r w:rsidRPr="00B8692A">
              <w:rPr>
                <w:rFonts w:cs="Arial"/>
              </w:rPr>
              <w:t>Instalator mikro- i małych instalacji OZE</w:t>
            </w:r>
          </w:p>
        </w:tc>
        <w:tc>
          <w:tcPr>
            <w:tcW w:w="5237" w:type="dxa"/>
          </w:tcPr>
          <w:p w14:paraId="7DCB5B32" w14:textId="77777777" w:rsidR="001E0C47" w:rsidRPr="00B8692A" w:rsidRDefault="001E0C47" w:rsidP="001E0C47">
            <w:pPr>
              <w:rPr>
                <w:rFonts w:cs="Arial"/>
              </w:rPr>
            </w:pPr>
            <w:r w:rsidRPr="00B8692A">
              <w:rPr>
                <w:rFonts w:cs="Arial"/>
              </w:rPr>
              <w:t>Urząd Dozoru Technicznego</w:t>
            </w:r>
          </w:p>
        </w:tc>
      </w:tr>
      <w:tr w:rsidR="001E0C47" w14:paraId="55113493" w14:textId="77777777" w:rsidTr="00CB4AC0">
        <w:tc>
          <w:tcPr>
            <w:tcW w:w="3823" w:type="dxa"/>
          </w:tcPr>
          <w:p w14:paraId="48F49711" w14:textId="77777777" w:rsidR="001E0C47" w:rsidRPr="00B8692A" w:rsidRDefault="001E0C47" w:rsidP="001E0C47">
            <w:pPr>
              <w:rPr>
                <w:rFonts w:cs="Arial"/>
              </w:rPr>
            </w:pPr>
            <w:r w:rsidRPr="00B8692A">
              <w:rPr>
                <w:rFonts w:cs="Arial"/>
              </w:rPr>
              <w:t>Eksploatacja urządzeń, instalacji i sieci energetycznych</w:t>
            </w:r>
          </w:p>
        </w:tc>
        <w:tc>
          <w:tcPr>
            <w:tcW w:w="5237" w:type="dxa"/>
          </w:tcPr>
          <w:p w14:paraId="3D5A879C" w14:textId="2E6DB320" w:rsidR="001E0C47" w:rsidRPr="00B8692A" w:rsidRDefault="001E0C47" w:rsidP="001E0C47">
            <w:pPr>
              <w:rPr>
                <w:rFonts w:cs="Arial"/>
              </w:rPr>
            </w:pPr>
            <w:r w:rsidRPr="00B8692A">
              <w:rPr>
                <w:rFonts w:cs="Arial"/>
              </w:rPr>
              <w:t>Urząd Regulacji Energetyki</w:t>
            </w:r>
          </w:p>
        </w:tc>
      </w:tr>
      <w:tr w:rsidR="001E0C47" w14:paraId="652E322A" w14:textId="77777777" w:rsidTr="00CB4AC0">
        <w:tc>
          <w:tcPr>
            <w:tcW w:w="3823" w:type="dxa"/>
          </w:tcPr>
          <w:p w14:paraId="101AE17E" w14:textId="77777777" w:rsidR="001E0C47" w:rsidRPr="00B8692A" w:rsidRDefault="001E0C47" w:rsidP="001E0C47">
            <w:pPr>
              <w:rPr>
                <w:rFonts w:cs="Arial"/>
              </w:rPr>
            </w:pPr>
            <w:r w:rsidRPr="00B8692A">
              <w:rPr>
                <w:rFonts w:cs="Arial"/>
              </w:rPr>
              <w:t>Spawacz</w:t>
            </w:r>
          </w:p>
        </w:tc>
        <w:tc>
          <w:tcPr>
            <w:tcW w:w="5237" w:type="dxa"/>
          </w:tcPr>
          <w:p w14:paraId="72495C70" w14:textId="77777777" w:rsidR="001E0C47" w:rsidRDefault="001E0C47" w:rsidP="001E0C47">
            <w:pPr>
              <w:rPr>
                <w:rFonts w:cs="Arial"/>
              </w:rPr>
            </w:pPr>
            <w:r w:rsidRPr="00B8692A">
              <w:rPr>
                <w:rFonts w:cs="Arial"/>
              </w:rPr>
              <w:t xml:space="preserve">Instytut Spawalnictwa </w:t>
            </w:r>
          </w:p>
          <w:p w14:paraId="036C2156" w14:textId="77777777" w:rsidR="001E0C47" w:rsidRPr="00B8692A" w:rsidRDefault="001E0C47" w:rsidP="001E0C47">
            <w:pPr>
              <w:rPr>
                <w:rFonts w:cs="Arial"/>
              </w:rPr>
            </w:pPr>
            <w:r w:rsidRPr="00B8692A">
              <w:rPr>
                <w:rFonts w:cs="Arial"/>
              </w:rPr>
              <w:t>Urząd Dozoru Technicznego,</w:t>
            </w:r>
          </w:p>
          <w:p w14:paraId="6647A267" w14:textId="77777777" w:rsidR="001E0C47" w:rsidRPr="00B8692A" w:rsidRDefault="001E0C47" w:rsidP="001E0C47">
            <w:pPr>
              <w:rPr>
                <w:rFonts w:cs="Arial"/>
              </w:rPr>
            </w:pPr>
            <w:r w:rsidRPr="00B8692A">
              <w:rPr>
                <w:rFonts w:cs="Arial"/>
              </w:rPr>
              <w:t>Polski Rejestr Statków</w:t>
            </w:r>
          </w:p>
        </w:tc>
      </w:tr>
      <w:tr w:rsidR="001E0C47" w14:paraId="1357D43E" w14:textId="77777777" w:rsidTr="00CB4AC0">
        <w:tc>
          <w:tcPr>
            <w:tcW w:w="3823" w:type="dxa"/>
          </w:tcPr>
          <w:p w14:paraId="384772EA" w14:textId="77777777" w:rsidR="001E0C47" w:rsidRPr="00B8692A" w:rsidRDefault="001E0C47" w:rsidP="001E0C47">
            <w:pPr>
              <w:rPr>
                <w:rFonts w:cs="Arial"/>
              </w:rPr>
            </w:pPr>
            <w:r w:rsidRPr="00B8692A">
              <w:rPr>
                <w:rFonts w:cs="Arial"/>
              </w:rPr>
              <w:t>Rzecznik patentowy</w:t>
            </w:r>
          </w:p>
        </w:tc>
        <w:tc>
          <w:tcPr>
            <w:tcW w:w="5237" w:type="dxa"/>
          </w:tcPr>
          <w:p w14:paraId="281045F0" w14:textId="77777777" w:rsidR="001E0C47" w:rsidRPr="00B8692A" w:rsidRDefault="001E0C47" w:rsidP="001E0C47">
            <w:pPr>
              <w:rPr>
                <w:rFonts w:cs="Arial"/>
              </w:rPr>
            </w:pPr>
            <w:r w:rsidRPr="00B8692A">
              <w:rPr>
                <w:rFonts w:cs="Arial"/>
              </w:rPr>
              <w:t>Samorząd Rzeczników Patentowych</w:t>
            </w:r>
          </w:p>
        </w:tc>
      </w:tr>
      <w:tr w:rsidR="001E0C47" w14:paraId="2065786E" w14:textId="77777777" w:rsidTr="00CB4AC0">
        <w:tc>
          <w:tcPr>
            <w:tcW w:w="3823" w:type="dxa"/>
          </w:tcPr>
          <w:p w14:paraId="2B761003" w14:textId="77777777" w:rsidR="001E0C47" w:rsidRPr="00B8692A" w:rsidRDefault="001E0C47" w:rsidP="001E0C47">
            <w:pPr>
              <w:rPr>
                <w:rFonts w:cs="Arial"/>
              </w:rPr>
            </w:pPr>
            <w:r w:rsidRPr="00B8692A">
              <w:rPr>
                <w:rFonts w:cs="Arial"/>
              </w:rPr>
              <w:t>Adwokat</w:t>
            </w:r>
          </w:p>
        </w:tc>
        <w:tc>
          <w:tcPr>
            <w:tcW w:w="5237" w:type="dxa"/>
          </w:tcPr>
          <w:p w14:paraId="6B51137C" w14:textId="77777777" w:rsidR="001E0C47" w:rsidRPr="00B8692A" w:rsidRDefault="001E0C47" w:rsidP="001E0C47">
            <w:pPr>
              <w:rPr>
                <w:rFonts w:cs="Arial"/>
              </w:rPr>
            </w:pPr>
            <w:r w:rsidRPr="00B8692A">
              <w:rPr>
                <w:rFonts w:cs="Arial"/>
              </w:rPr>
              <w:t>Samorząd Adwokacki</w:t>
            </w:r>
          </w:p>
        </w:tc>
      </w:tr>
      <w:tr w:rsidR="001E0C47" w14:paraId="01C6AEAA" w14:textId="77777777" w:rsidTr="00CB4AC0">
        <w:tc>
          <w:tcPr>
            <w:tcW w:w="3823" w:type="dxa"/>
          </w:tcPr>
          <w:p w14:paraId="6FC9DB84" w14:textId="77777777" w:rsidR="001E0C47" w:rsidRPr="00B8692A" w:rsidRDefault="001E0C47" w:rsidP="001E0C47">
            <w:pPr>
              <w:rPr>
                <w:rFonts w:cs="Arial"/>
              </w:rPr>
            </w:pPr>
            <w:r w:rsidRPr="00B8692A">
              <w:rPr>
                <w:rFonts w:cs="Arial"/>
              </w:rPr>
              <w:t>Marynarz</w:t>
            </w:r>
          </w:p>
        </w:tc>
        <w:tc>
          <w:tcPr>
            <w:tcW w:w="5237" w:type="dxa"/>
          </w:tcPr>
          <w:p w14:paraId="2DF742B4" w14:textId="77777777" w:rsidR="001E0C47" w:rsidRPr="00B8692A" w:rsidRDefault="001E0C47" w:rsidP="001E0C47">
            <w:pPr>
              <w:rPr>
                <w:rFonts w:cs="Arial"/>
              </w:rPr>
            </w:pPr>
            <w:r w:rsidRPr="00B8692A">
              <w:rPr>
                <w:rFonts w:cs="Arial"/>
              </w:rPr>
              <w:t>Urząd Morski</w:t>
            </w:r>
          </w:p>
        </w:tc>
      </w:tr>
      <w:tr w:rsidR="001E0C47" w14:paraId="59669A07" w14:textId="77777777" w:rsidTr="00CB4AC0">
        <w:tc>
          <w:tcPr>
            <w:tcW w:w="3823" w:type="dxa"/>
          </w:tcPr>
          <w:p w14:paraId="3E2756DF" w14:textId="77777777" w:rsidR="001E0C47" w:rsidRPr="00B8692A" w:rsidRDefault="001E0C47" w:rsidP="001E0C47">
            <w:pPr>
              <w:rPr>
                <w:rFonts w:cs="Arial"/>
              </w:rPr>
            </w:pPr>
            <w:r w:rsidRPr="00B8692A">
              <w:rPr>
                <w:rFonts w:cs="Arial"/>
              </w:rPr>
              <w:t>Inspektor dozoru jądrowego</w:t>
            </w:r>
          </w:p>
        </w:tc>
        <w:tc>
          <w:tcPr>
            <w:tcW w:w="5237" w:type="dxa"/>
          </w:tcPr>
          <w:p w14:paraId="063C7BD0" w14:textId="77777777" w:rsidR="001E0C47" w:rsidRPr="00B8692A" w:rsidRDefault="001E0C47" w:rsidP="001E0C47">
            <w:pPr>
              <w:rPr>
                <w:rFonts w:cs="Arial"/>
              </w:rPr>
            </w:pPr>
            <w:r w:rsidRPr="00B8692A">
              <w:rPr>
                <w:rFonts w:cs="Arial"/>
              </w:rPr>
              <w:t>Państwowa Agencja Atomistyki</w:t>
            </w:r>
          </w:p>
        </w:tc>
      </w:tr>
      <w:tr w:rsidR="001E0C47" w14:paraId="4E15F23D" w14:textId="77777777" w:rsidTr="00CB4AC0">
        <w:tc>
          <w:tcPr>
            <w:tcW w:w="3823" w:type="dxa"/>
          </w:tcPr>
          <w:p w14:paraId="502FD29D" w14:textId="77777777" w:rsidR="001E0C47" w:rsidRPr="00B8692A" w:rsidRDefault="001E0C47" w:rsidP="001E0C47">
            <w:pPr>
              <w:rPr>
                <w:rFonts w:cs="Arial"/>
              </w:rPr>
            </w:pPr>
            <w:r w:rsidRPr="00B8692A">
              <w:rPr>
                <w:rFonts w:cs="Arial"/>
              </w:rPr>
              <w:t>Biegły rewident</w:t>
            </w:r>
          </w:p>
        </w:tc>
        <w:tc>
          <w:tcPr>
            <w:tcW w:w="5237" w:type="dxa"/>
          </w:tcPr>
          <w:p w14:paraId="55AFA33B" w14:textId="77777777" w:rsidR="001E0C47" w:rsidRPr="00B8692A" w:rsidRDefault="001E0C47" w:rsidP="001E0C47">
            <w:pPr>
              <w:rPr>
                <w:rFonts w:cs="Arial"/>
              </w:rPr>
            </w:pPr>
            <w:r w:rsidRPr="00B8692A">
              <w:rPr>
                <w:rFonts w:cs="Arial"/>
              </w:rPr>
              <w:t>Krajowa Izba Biegłych Rewidentów</w:t>
            </w:r>
          </w:p>
        </w:tc>
      </w:tr>
      <w:tr w:rsidR="001E0C47" w14:paraId="5DFAFDEC" w14:textId="77777777" w:rsidTr="00CB4AC0">
        <w:tc>
          <w:tcPr>
            <w:tcW w:w="3823" w:type="dxa"/>
          </w:tcPr>
          <w:p w14:paraId="46529D4B" w14:textId="4B96BAEE" w:rsidR="001E0C47" w:rsidRPr="00B8692A" w:rsidRDefault="001E0C47" w:rsidP="001E0C47">
            <w:pPr>
              <w:rPr>
                <w:rFonts w:cs="Arial"/>
              </w:rPr>
            </w:pPr>
            <w:r w:rsidRPr="00B8692A">
              <w:rPr>
                <w:rFonts w:cs="Arial"/>
              </w:rPr>
              <w:t>Logistyk</w:t>
            </w:r>
          </w:p>
        </w:tc>
        <w:tc>
          <w:tcPr>
            <w:tcW w:w="5237" w:type="dxa"/>
          </w:tcPr>
          <w:p w14:paraId="6A691FEF" w14:textId="77777777" w:rsidR="001E0C47" w:rsidRPr="00B8692A" w:rsidRDefault="001E0C47" w:rsidP="001E0C47">
            <w:pPr>
              <w:rPr>
                <w:rFonts w:cs="Arial"/>
              </w:rPr>
            </w:pPr>
            <w:r w:rsidRPr="00B8692A">
              <w:rPr>
                <w:rFonts w:cs="Arial"/>
              </w:rPr>
              <w:t>Krajowa Organizacja Certyfikująca Europejskiego Towarzystwa Logistycznego (Egzaminy przeprowadza Instytut Logistyki i Magazynowania)</w:t>
            </w:r>
          </w:p>
        </w:tc>
      </w:tr>
      <w:tr w:rsidR="001E0C47" w14:paraId="392B160A" w14:textId="77777777" w:rsidTr="00CB4AC0">
        <w:tc>
          <w:tcPr>
            <w:tcW w:w="3823" w:type="dxa"/>
          </w:tcPr>
          <w:p w14:paraId="7ED56B9F" w14:textId="708E2B0D" w:rsidR="001E0C47" w:rsidRPr="00B8692A" w:rsidRDefault="001E0C47" w:rsidP="001E0C47">
            <w:pPr>
              <w:rPr>
                <w:rFonts w:cs="Arial"/>
              </w:rPr>
            </w:pPr>
            <w:r w:rsidRPr="00B8692A">
              <w:rPr>
                <w:rFonts w:cs="Arial"/>
              </w:rPr>
              <w:t>Operator wózka widłowego</w:t>
            </w:r>
          </w:p>
        </w:tc>
        <w:tc>
          <w:tcPr>
            <w:tcW w:w="5237" w:type="dxa"/>
          </w:tcPr>
          <w:p w14:paraId="5C8EABEC" w14:textId="77777777" w:rsidR="001E0C47" w:rsidRPr="00B8692A" w:rsidRDefault="001E0C47" w:rsidP="001E0C47">
            <w:pPr>
              <w:rPr>
                <w:rFonts w:cs="Arial"/>
              </w:rPr>
            </w:pPr>
            <w:r w:rsidRPr="00B8692A">
              <w:rPr>
                <w:rFonts w:cs="Arial"/>
              </w:rPr>
              <w:t>Urząd Dozoru Technicznego lub</w:t>
            </w:r>
          </w:p>
          <w:p w14:paraId="6866572C" w14:textId="77777777" w:rsidR="001E0C47" w:rsidRPr="00B8692A" w:rsidRDefault="001E0C47" w:rsidP="001E0C47">
            <w:pPr>
              <w:rPr>
                <w:rFonts w:cs="Arial"/>
              </w:rPr>
            </w:pPr>
            <w:r w:rsidRPr="00B8692A">
              <w:rPr>
                <w:rFonts w:cs="Arial"/>
              </w:rPr>
              <w:t>Instytut Mechanizacji Budownictwa i Górnictwa Skalnego</w:t>
            </w:r>
          </w:p>
        </w:tc>
      </w:tr>
      <w:tr w:rsidR="001E0C47" w14:paraId="19CA2659" w14:textId="77777777" w:rsidTr="00CB4AC0">
        <w:tc>
          <w:tcPr>
            <w:tcW w:w="3823" w:type="dxa"/>
          </w:tcPr>
          <w:p w14:paraId="2D5B4618" w14:textId="191695D3" w:rsidR="001E0C47" w:rsidRPr="00B8692A" w:rsidRDefault="001E0C47" w:rsidP="001E0C47">
            <w:pPr>
              <w:rPr>
                <w:rFonts w:cs="Arial"/>
              </w:rPr>
            </w:pPr>
            <w:r w:rsidRPr="00B8692A">
              <w:rPr>
                <w:rFonts w:cs="Arial"/>
              </w:rPr>
              <w:t>Agent ubezpieczeń</w:t>
            </w:r>
          </w:p>
        </w:tc>
        <w:tc>
          <w:tcPr>
            <w:tcW w:w="5237" w:type="dxa"/>
          </w:tcPr>
          <w:p w14:paraId="219CDCAA" w14:textId="77777777" w:rsidR="001E0C47" w:rsidRPr="00B8692A" w:rsidRDefault="001E0C47" w:rsidP="001E0C47">
            <w:pPr>
              <w:rPr>
                <w:rFonts w:cs="Arial"/>
              </w:rPr>
            </w:pPr>
            <w:r w:rsidRPr="00B8692A">
              <w:rPr>
                <w:rFonts w:cs="Arial"/>
              </w:rPr>
              <w:t>Komisja Nadzoru Finansowego (Egzaminy przeprowadza Zakład Ubezpieczeń)</w:t>
            </w:r>
          </w:p>
        </w:tc>
      </w:tr>
      <w:tr w:rsidR="001E0C47" w14:paraId="6BED4641" w14:textId="77777777" w:rsidTr="00CB4AC0">
        <w:tc>
          <w:tcPr>
            <w:tcW w:w="3823" w:type="dxa"/>
          </w:tcPr>
          <w:p w14:paraId="7B2DEDD5" w14:textId="77777777" w:rsidR="001E0C47" w:rsidRPr="00B8692A" w:rsidRDefault="001E0C47" w:rsidP="001E0C47">
            <w:pPr>
              <w:rPr>
                <w:rFonts w:cs="Arial"/>
              </w:rPr>
            </w:pPr>
            <w:r w:rsidRPr="00B8692A">
              <w:rPr>
                <w:rFonts w:cs="Arial"/>
              </w:rPr>
              <w:t>Uprawnienie tankowania gazu LPG na stacjach paliw</w:t>
            </w:r>
          </w:p>
        </w:tc>
        <w:tc>
          <w:tcPr>
            <w:tcW w:w="5237" w:type="dxa"/>
          </w:tcPr>
          <w:p w14:paraId="18756D42" w14:textId="417D9B31" w:rsidR="001E0C47" w:rsidRPr="00B8692A" w:rsidRDefault="001E0C47" w:rsidP="001E0C47">
            <w:pPr>
              <w:rPr>
                <w:rFonts w:cs="Arial"/>
              </w:rPr>
            </w:pPr>
            <w:r w:rsidRPr="00B8692A">
              <w:rPr>
                <w:rFonts w:cs="Arial"/>
              </w:rPr>
              <w:t>Transportowy Dozór Techniczny</w:t>
            </w:r>
          </w:p>
        </w:tc>
      </w:tr>
      <w:tr w:rsidR="001E0C47" w14:paraId="4B12C3AB" w14:textId="77777777" w:rsidTr="00CB4AC0">
        <w:tc>
          <w:tcPr>
            <w:tcW w:w="3823" w:type="dxa"/>
          </w:tcPr>
          <w:p w14:paraId="746B9A35" w14:textId="127E7C1F" w:rsidR="001E0C47" w:rsidRPr="00B8692A" w:rsidRDefault="001E0C47" w:rsidP="001E0C47">
            <w:pPr>
              <w:rPr>
                <w:rFonts w:cs="Arial"/>
              </w:rPr>
            </w:pPr>
            <w:r w:rsidRPr="00B8692A">
              <w:rPr>
                <w:rFonts w:cs="Arial"/>
              </w:rPr>
              <w:t>Tłumacz przysięgły</w:t>
            </w:r>
          </w:p>
        </w:tc>
        <w:tc>
          <w:tcPr>
            <w:tcW w:w="5237" w:type="dxa"/>
          </w:tcPr>
          <w:p w14:paraId="5F07D8BD" w14:textId="77777777" w:rsidR="001E0C47" w:rsidRPr="00B8692A" w:rsidRDefault="001E0C47" w:rsidP="001E0C47">
            <w:pPr>
              <w:rPr>
                <w:rFonts w:cs="Arial"/>
              </w:rPr>
            </w:pPr>
            <w:r w:rsidRPr="00B8692A">
              <w:rPr>
                <w:rFonts w:cs="Arial"/>
              </w:rPr>
              <w:t>Minister Sprawiedliwości (Egzaminy przeprowadza Państwowa Komisja Egzaminacyjna)</w:t>
            </w:r>
          </w:p>
        </w:tc>
      </w:tr>
      <w:tr w:rsidR="001E0C47" w14:paraId="4F90C673" w14:textId="77777777" w:rsidTr="00CB4AC0">
        <w:tc>
          <w:tcPr>
            <w:tcW w:w="3823" w:type="dxa"/>
          </w:tcPr>
          <w:p w14:paraId="29E95E60" w14:textId="77777777" w:rsidR="001E0C47" w:rsidRPr="00B8692A" w:rsidRDefault="00F156EB" w:rsidP="001E0C47">
            <w:pPr>
              <w:rPr>
                <w:rFonts w:cs="Arial"/>
              </w:rPr>
            </w:pPr>
            <w:r w:rsidRPr="00B8692A">
              <w:rPr>
                <w:rFonts w:cs="Arial"/>
              </w:rPr>
              <w:t>Operator żurawi wieżowych</w:t>
            </w:r>
          </w:p>
        </w:tc>
        <w:tc>
          <w:tcPr>
            <w:tcW w:w="5237" w:type="dxa"/>
          </w:tcPr>
          <w:p w14:paraId="78D647E3" w14:textId="77777777" w:rsidR="001E0C47" w:rsidRPr="00B8692A" w:rsidRDefault="00F156EB" w:rsidP="001E0C47">
            <w:pPr>
              <w:rPr>
                <w:rFonts w:cs="Arial"/>
              </w:rPr>
            </w:pPr>
            <w:r w:rsidRPr="00B8692A">
              <w:rPr>
                <w:rFonts w:cs="Arial"/>
              </w:rPr>
              <w:t>Urząd Dozoru Technicznego</w:t>
            </w:r>
          </w:p>
        </w:tc>
      </w:tr>
      <w:tr w:rsidR="001E0C47" w14:paraId="7CB43A49" w14:textId="77777777" w:rsidTr="00CB4AC0">
        <w:tc>
          <w:tcPr>
            <w:tcW w:w="3823" w:type="dxa"/>
          </w:tcPr>
          <w:p w14:paraId="001A14B4" w14:textId="77777777" w:rsidR="001E0C47" w:rsidRPr="00B8692A" w:rsidRDefault="00F156EB" w:rsidP="001E0C47">
            <w:pPr>
              <w:rPr>
                <w:rFonts w:cs="Arial"/>
              </w:rPr>
            </w:pPr>
            <w:r w:rsidRPr="00B8692A">
              <w:rPr>
                <w:rFonts w:cs="Arial"/>
              </w:rPr>
              <w:t>Operator urządzeń transportu bliskiego – podesty ruchome przejezdne</w:t>
            </w:r>
          </w:p>
        </w:tc>
        <w:tc>
          <w:tcPr>
            <w:tcW w:w="5237" w:type="dxa"/>
          </w:tcPr>
          <w:p w14:paraId="1E855901" w14:textId="0AB790B7" w:rsidR="001E0C47" w:rsidRPr="00B8692A" w:rsidRDefault="00F156EB" w:rsidP="001E0C47">
            <w:pPr>
              <w:rPr>
                <w:rFonts w:cs="Arial"/>
              </w:rPr>
            </w:pPr>
            <w:r w:rsidRPr="00B8692A">
              <w:rPr>
                <w:rFonts w:cs="Arial"/>
              </w:rPr>
              <w:t>Urząd Dozoru Technicznego</w:t>
            </w:r>
          </w:p>
        </w:tc>
      </w:tr>
      <w:tr w:rsidR="001E0C47" w14:paraId="10780C3C" w14:textId="77777777" w:rsidTr="00CB4AC0">
        <w:tc>
          <w:tcPr>
            <w:tcW w:w="3823" w:type="dxa"/>
          </w:tcPr>
          <w:p w14:paraId="292D0203" w14:textId="77777777" w:rsidR="001E0C47" w:rsidRPr="00B8692A" w:rsidRDefault="00F156EB" w:rsidP="001E0C47">
            <w:pPr>
              <w:rPr>
                <w:rFonts w:cs="Arial"/>
              </w:rPr>
            </w:pPr>
            <w:r w:rsidRPr="00B8692A">
              <w:rPr>
                <w:rFonts w:cs="Arial"/>
              </w:rPr>
              <w:t>Uprawnienie do wykonywania zawodu Siostry PCK</w:t>
            </w:r>
          </w:p>
        </w:tc>
        <w:tc>
          <w:tcPr>
            <w:tcW w:w="5237" w:type="dxa"/>
          </w:tcPr>
          <w:p w14:paraId="7299C719" w14:textId="3F377979" w:rsidR="001E0C47" w:rsidRPr="00B8692A" w:rsidRDefault="00F156EB" w:rsidP="00F156EB">
            <w:pPr>
              <w:rPr>
                <w:rFonts w:cs="Arial"/>
              </w:rPr>
            </w:pPr>
            <w:r w:rsidRPr="00B8692A">
              <w:rPr>
                <w:rFonts w:cs="Arial"/>
              </w:rPr>
              <w:t>Polski Czerwony Krzyż</w:t>
            </w:r>
          </w:p>
        </w:tc>
      </w:tr>
      <w:tr w:rsidR="00F156EB" w14:paraId="2BACB986" w14:textId="77777777" w:rsidTr="00CB4AC0">
        <w:tc>
          <w:tcPr>
            <w:tcW w:w="3823" w:type="dxa"/>
          </w:tcPr>
          <w:p w14:paraId="687A20E7" w14:textId="77777777" w:rsidR="00F156EB" w:rsidRPr="00B8692A" w:rsidRDefault="00F156EB" w:rsidP="00F156EB">
            <w:pPr>
              <w:rPr>
                <w:rFonts w:cs="Arial"/>
              </w:rPr>
            </w:pPr>
            <w:r w:rsidRPr="00B8692A">
              <w:rPr>
                <w:rFonts w:cs="Arial"/>
              </w:rPr>
              <w:t>Elektryk</w:t>
            </w:r>
          </w:p>
          <w:p w14:paraId="304D2638" w14:textId="77777777" w:rsidR="00F156EB" w:rsidRPr="00B8692A" w:rsidRDefault="00F156EB" w:rsidP="001E0C47">
            <w:pPr>
              <w:rPr>
                <w:rFonts w:cs="Arial"/>
              </w:rPr>
            </w:pPr>
            <w:r w:rsidRPr="00B8692A">
              <w:rPr>
                <w:rFonts w:cs="Arial"/>
              </w:rPr>
              <w:t>Palacz kotłów CO</w:t>
            </w:r>
          </w:p>
        </w:tc>
        <w:tc>
          <w:tcPr>
            <w:tcW w:w="5237" w:type="dxa"/>
          </w:tcPr>
          <w:p w14:paraId="1AC00631" w14:textId="77777777" w:rsidR="00F156EB" w:rsidRPr="00B8692A" w:rsidRDefault="00F156EB" w:rsidP="00F156EB">
            <w:pPr>
              <w:rPr>
                <w:rFonts w:cs="Arial"/>
              </w:rPr>
            </w:pPr>
            <w:r w:rsidRPr="00B8692A">
              <w:rPr>
                <w:rFonts w:cs="Arial"/>
              </w:rPr>
              <w:t>Urząd Regulacji Energetyki</w:t>
            </w:r>
          </w:p>
          <w:p w14:paraId="53BA4317" w14:textId="77777777" w:rsidR="00F156EB" w:rsidRPr="00B8692A" w:rsidRDefault="00F156EB" w:rsidP="00F156EB">
            <w:pPr>
              <w:rPr>
                <w:rFonts w:cs="Arial"/>
              </w:rPr>
            </w:pPr>
            <w:r w:rsidRPr="00B8692A">
              <w:rPr>
                <w:rFonts w:cs="Arial"/>
              </w:rPr>
              <w:t>Urząd Regulacji Energetyki</w:t>
            </w:r>
          </w:p>
        </w:tc>
      </w:tr>
    </w:tbl>
    <w:p w14:paraId="1C56204D" w14:textId="77777777" w:rsidR="00B8692A" w:rsidRPr="00B8692A" w:rsidRDefault="00B8692A" w:rsidP="00B8692A">
      <w:pPr>
        <w:rPr>
          <w:rFonts w:cs="Arial"/>
        </w:rPr>
      </w:pPr>
      <w:r w:rsidRPr="00B8692A">
        <w:rPr>
          <w:rFonts w:cs="Arial"/>
        </w:rPr>
        <w:t>Wykazane powyżej instytucje certyfikujące i kwalifikacje stanowią jedynie przykłady i nie należy ich traktować jako zamkniętej listy.</w:t>
      </w:r>
    </w:p>
    <w:p w14:paraId="2F21DC8D" w14:textId="580F9DFD" w:rsidR="00B8692A" w:rsidRPr="00B8692A" w:rsidRDefault="00B8692A" w:rsidP="00B8692A">
      <w:pPr>
        <w:rPr>
          <w:rFonts w:cs="Arial"/>
        </w:rPr>
      </w:pPr>
      <w:r w:rsidRPr="00B8692A">
        <w:rPr>
          <w:rFonts w:cs="Arial"/>
        </w:rPr>
        <w:t xml:space="preserve">Informacje nt. instytucji certyfikujących osoby, akredytowanych przez Polskie Centrum Akredytacji, można znaleźć na stronie internetowej </w:t>
      </w:r>
      <w:hyperlink r:id="rId19" w:history="1">
        <w:r w:rsidR="00F156EB" w:rsidRPr="00B020FA">
          <w:rPr>
            <w:rStyle w:val="Hipercze"/>
            <w:rFonts w:cs="Arial"/>
          </w:rPr>
          <w:t>www.pca.gov.pl</w:t>
        </w:r>
      </w:hyperlink>
      <w:r w:rsidR="00F156EB">
        <w:rPr>
          <w:rFonts w:cs="Arial"/>
        </w:rPr>
        <w:t xml:space="preserve"> </w:t>
      </w:r>
      <w:r w:rsidRPr="00B8692A">
        <w:rPr>
          <w:rFonts w:cs="Arial"/>
        </w:rPr>
        <w:t>(zakładka: akredytowane podmioty/</w:t>
      </w:r>
      <w:r w:rsidR="00552C18">
        <w:rPr>
          <w:rFonts w:cs="Arial"/>
        </w:rPr>
        <w:t xml:space="preserve"> </w:t>
      </w:r>
      <w:r w:rsidRPr="00B8692A">
        <w:rPr>
          <w:rFonts w:cs="Arial"/>
        </w:rPr>
        <w:t>jednostki certyfikujące osoby). Wykaz akredytowanych jednostek certyfikujących znajduje się również na stronie Rady Głównej Instytutów Badawczych (zakładka: Laboratoria Akredytowane/Wykaz akredytowanych jednostek certyfikujących).</w:t>
      </w:r>
    </w:p>
    <w:p w14:paraId="4116D800" w14:textId="61CEDD60" w:rsidR="00B8692A" w:rsidRPr="00B8692A" w:rsidRDefault="00B8692A" w:rsidP="00B8692A">
      <w:pPr>
        <w:rPr>
          <w:rFonts w:cs="Arial"/>
        </w:rPr>
      </w:pPr>
      <w:r w:rsidRPr="00B8692A">
        <w:rPr>
          <w:rFonts w:cs="Arial"/>
        </w:rPr>
        <w:t xml:space="preserve">Wykaz instytucji posiadających uprawnienia do certyfikowania kwalifikacji rynkowych nadane przez ministra właściwego dla danej kwalifikacji, zgodnie z ustawą o ZSK, można znaleźć na stronie Zintegrowanego Rejestru Kwalifikacji: </w:t>
      </w:r>
      <w:hyperlink r:id="rId20" w:history="1">
        <w:r w:rsidR="00001B2A" w:rsidRPr="00221353">
          <w:rPr>
            <w:rStyle w:val="Hipercze"/>
            <w:rFonts w:cs="Arial"/>
          </w:rPr>
          <w:t>www.kwalifikacje.gov.pl</w:t>
        </w:r>
      </w:hyperlink>
      <w:r w:rsidR="00001B2A">
        <w:rPr>
          <w:rFonts w:cs="Arial"/>
          <w:u w:val="single"/>
        </w:rPr>
        <w:t xml:space="preserve"> </w:t>
      </w:r>
    </w:p>
    <w:p w14:paraId="24695C7B" w14:textId="52D30B70" w:rsidR="00B8692A" w:rsidRPr="00F156EB" w:rsidRDefault="00B8692A" w:rsidP="00B8692A">
      <w:pPr>
        <w:rPr>
          <w:rFonts w:cs="Arial"/>
          <w:b/>
        </w:rPr>
      </w:pPr>
      <w:r w:rsidRPr="00F156EB">
        <w:rPr>
          <w:rFonts w:cs="Arial"/>
          <w:b/>
        </w:rPr>
        <w:t>4) Pojęcie kompetencji i możliwość uzyskiwania kompetencji</w:t>
      </w:r>
    </w:p>
    <w:p w14:paraId="790DA469" w14:textId="77777777" w:rsidR="00B8692A" w:rsidRPr="00B8692A" w:rsidRDefault="00B8692A" w:rsidP="00B8692A">
      <w:pPr>
        <w:rPr>
          <w:rFonts w:cs="Arial"/>
        </w:rPr>
      </w:pPr>
      <w:r w:rsidRPr="00B8692A">
        <w:rPr>
          <w:rFonts w:cs="Arial"/>
        </w:rPr>
        <w:t>W przypadku gdy forma wsparcia w odniesieniu do konkretnej osoby nie uwzględnia procesu certyfikacji (opisanego powyżej) taka osoba nabywa kompetencje.</w:t>
      </w:r>
    </w:p>
    <w:p w14:paraId="1B694629" w14:textId="05609E4C" w:rsidR="00B8692A" w:rsidRPr="00B8692A" w:rsidRDefault="00B8692A" w:rsidP="00B8692A">
      <w:pPr>
        <w:rPr>
          <w:rFonts w:cs="Arial"/>
        </w:rPr>
      </w:pPr>
      <w:r w:rsidRPr="00F156EB">
        <w:rPr>
          <w:rFonts w:cs="Arial"/>
          <w:b/>
        </w:rPr>
        <w:t>Kompetencja</w:t>
      </w:r>
      <w:r w:rsidRPr="00B8692A">
        <w:rPr>
          <w:rFonts w:cs="Arial"/>
        </w:rPr>
        <w:t xml:space="preserve"> to wyodrębniony zestaw efektów uczenia się / kształcenia, które zostały sprawdzone w</w:t>
      </w:r>
      <w:r w:rsidR="001D5485">
        <w:rPr>
          <w:rFonts w:cs="Arial"/>
        </w:rPr>
        <w:t> </w:t>
      </w:r>
      <w:r w:rsidRPr="00B8692A">
        <w:rPr>
          <w:rFonts w:cs="Arial"/>
        </w:rPr>
        <w:t>procesie walidacji w sposób zgodny z wymaganiami ustalonymi dla danej kompetencji, odnoszącymi się w szczególności do składających się na nią efektów uczenia się.</w:t>
      </w:r>
    </w:p>
    <w:p w14:paraId="30B549AB" w14:textId="77777777" w:rsidR="00B8692A" w:rsidRPr="00B8692A" w:rsidRDefault="00B8692A" w:rsidP="00B8692A">
      <w:pPr>
        <w:rPr>
          <w:rFonts w:cs="Arial"/>
        </w:rPr>
      </w:pPr>
      <w:r w:rsidRPr="00F156EB">
        <w:rPr>
          <w:rFonts w:cs="Arial"/>
          <w:b/>
        </w:rPr>
        <w:t>Potwierdzenie nabycia kompetencji</w:t>
      </w:r>
      <w:r w:rsidRPr="00B8692A">
        <w:rPr>
          <w:rFonts w:cs="Arial"/>
        </w:rPr>
        <w:t xml:space="preserve"> powinno uwzględniać następujące etapy:</w:t>
      </w:r>
    </w:p>
    <w:p w14:paraId="35D7F67F" w14:textId="77777777" w:rsidR="00B8692A" w:rsidRDefault="00B8692A" w:rsidP="009E064E">
      <w:pPr>
        <w:pStyle w:val="Akapitzlist"/>
        <w:numPr>
          <w:ilvl w:val="0"/>
          <w:numId w:val="25"/>
        </w:numPr>
        <w:ind w:left="426" w:hanging="426"/>
        <w:rPr>
          <w:rFonts w:cs="Arial"/>
        </w:rPr>
      </w:pPr>
      <w:r w:rsidRPr="00F156EB">
        <w:rPr>
          <w:rFonts w:cs="Arial"/>
        </w:rPr>
        <w:t>ETAP I – Zakres – zdefiniowanie w ramach wniosku o dofinansowanie (w przypadku projektów) lub karty usługi (w przypadku Podmiotowego Systemu Finansowania) grupy docelowej do objęcia wsparciem oraz wybranie zakresu tematycznego wsparcia, który będzie poddany ocenie,</w:t>
      </w:r>
    </w:p>
    <w:p w14:paraId="391823A7" w14:textId="77777777" w:rsidR="00B8692A" w:rsidRDefault="00B8692A" w:rsidP="009E064E">
      <w:pPr>
        <w:pStyle w:val="Akapitzlist"/>
        <w:numPr>
          <w:ilvl w:val="0"/>
          <w:numId w:val="25"/>
        </w:numPr>
        <w:ind w:left="426" w:hanging="426"/>
        <w:rPr>
          <w:rFonts w:cs="Arial"/>
        </w:rPr>
      </w:pPr>
      <w:r w:rsidRPr="00F156EB">
        <w:rPr>
          <w:rFonts w:cs="Arial"/>
        </w:rPr>
        <w:t>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 Sposób (miejsce) definiowania informacji wymaganych w etapie II powinien zostać</w:t>
      </w:r>
      <w:r w:rsidR="00F156EB">
        <w:rPr>
          <w:rFonts w:cs="Arial"/>
        </w:rPr>
        <w:t xml:space="preserve"> </w:t>
      </w:r>
      <w:r w:rsidRPr="00F156EB">
        <w:rPr>
          <w:rFonts w:cs="Arial"/>
        </w:rPr>
        <w:t>określony przez instytucję organizującą konkurs/ przeprowadzającą nabór projektów (w przypadku projektów)</w:t>
      </w:r>
      <w:r w:rsidR="00F156EB">
        <w:rPr>
          <w:rStyle w:val="Odwoanieprzypisudolnego"/>
          <w:rFonts w:cs="Arial"/>
        </w:rPr>
        <w:footnoteReference w:id="15"/>
      </w:r>
      <w:r w:rsidRPr="00F156EB">
        <w:rPr>
          <w:rFonts w:cs="Arial"/>
        </w:rPr>
        <w:t>,</w:t>
      </w:r>
    </w:p>
    <w:p w14:paraId="6E1C9C60" w14:textId="77777777" w:rsidR="00B8692A" w:rsidRDefault="00B8692A" w:rsidP="009E064E">
      <w:pPr>
        <w:pStyle w:val="Akapitzlist"/>
        <w:numPr>
          <w:ilvl w:val="0"/>
          <w:numId w:val="25"/>
        </w:numPr>
        <w:ind w:left="426" w:hanging="426"/>
        <w:rPr>
          <w:rFonts w:cs="Arial"/>
        </w:rPr>
      </w:pPr>
      <w:r w:rsidRPr="00F156EB">
        <w:rPr>
          <w:rFonts w:cs="Arial"/>
        </w:rPr>
        <w:t>ETAP III – Ocena – przeprowadzenie weryfikacji na podstawie kryteriów opisanych we wzorcu (etap II) po zakończeniu wsparcia udzielanego danej osobie, przy zachowaniu rozdzielności funkcji pomiędzy procesem kształcenia i walidacji</w:t>
      </w:r>
      <w:r w:rsidR="00F156EB">
        <w:rPr>
          <w:rStyle w:val="Odwoanieprzypisudolnego"/>
          <w:rFonts w:cs="Arial"/>
        </w:rPr>
        <w:footnoteReference w:id="16"/>
      </w:r>
      <w:r w:rsidRPr="00F156EB">
        <w:rPr>
          <w:rFonts w:cs="Arial"/>
        </w:rPr>
        <w:t xml:space="preserve"> (np. walidacja jest prowadzona przez zewnętrzny podmiot w stosunku do instytucji szkoleniowej lub w jednej instytucji szkoleniowej proces walidacji jest prowadzony przez inną osobę aniżeli proces kształcenia),</w:t>
      </w:r>
    </w:p>
    <w:p w14:paraId="5AA7FF7E" w14:textId="77777777" w:rsidR="00B8692A" w:rsidRPr="00F156EB" w:rsidRDefault="00B8692A" w:rsidP="009E064E">
      <w:pPr>
        <w:pStyle w:val="Akapitzlist"/>
        <w:numPr>
          <w:ilvl w:val="0"/>
          <w:numId w:val="25"/>
        </w:numPr>
        <w:ind w:left="426" w:hanging="426"/>
        <w:rPr>
          <w:rFonts w:cs="Arial"/>
        </w:rPr>
      </w:pPr>
      <w:r w:rsidRPr="00F156EB">
        <w:rPr>
          <w:rFonts w:cs="Aria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A015EE9" w14:textId="77777777" w:rsidR="00B8692A" w:rsidRPr="00F156EB" w:rsidRDefault="00B8692A" w:rsidP="00B8692A">
      <w:pPr>
        <w:rPr>
          <w:rFonts w:cs="Arial"/>
          <w:b/>
        </w:rPr>
      </w:pPr>
      <w:r w:rsidRPr="00F156EB">
        <w:rPr>
          <w:rFonts w:cs="Arial"/>
          <w:b/>
        </w:rPr>
        <w:t>Lista sprawdzająca do weryfikacji, czy dany dokument można uznać za potwierdzający kwalifikację (niewłączoną do Zintegrowanego Systemu Kwalifikacji)/kompetencję na potrzeby mierzenia wskaźników monitorowania EFS+ dot. uzyskiwania kwalifikacji</w:t>
      </w:r>
    </w:p>
    <w:tbl>
      <w:tblPr>
        <w:tblStyle w:val="Tabela-Siatka"/>
        <w:tblW w:w="0" w:type="auto"/>
        <w:tblLook w:val="04A0" w:firstRow="1" w:lastRow="0" w:firstColumn="1" w:lastColumn="0" w:noHBand="0" w:noVBand="1"/>
      </w:tblPr>
      <w:tblGrid>
        <w:gridCol w:w="7083"/>
        <w:gridCol w:w="992"/>
        <w:gridCol w:w="985"/>
      </w:tblGrid>
      <w:tr w:rsidR="00F156EB" w14:paraId="19B3E922" w14:textId="77777777" w:rsidTr="00F94423">
        <w:trPr>
          <w:tblHeader/>
        </w:trPr>
        <w:tc>
          <w:tcPr>
            <w:tcW w:w="7083" w:type="dxa"/>
            <w:tcBorders>
              <w:bottom w:val="single" w:sz="6" w:space="0" w:color="auto"/>
            </w:tcBorders>
            <w:shd w:val="clear" w:color="auto" w:fill="D9D9D9" w:themeFill="background1" w:themeFillShade="D9"/>
          </w:tcPr>
          <w:p w14:paraId="21A2FE31" w14:textId="77777777" w:rsidR="00F156EB" w:rsidRPr="00F156EB" w:rsidRDefault="00F156EB" w:rsidP="00B8692A">
            <w:pPr>
              <w:rPr>
                <w:rFonts w:cs="Arial"/>
                <w:b/>
              </w:rPr>
            </w:pPr>
            <w:r w:rsidRPr="00F156EB">
              <w:rPr>
                <w:rFonts w:cs="Arial"/>
                <w:b/>
              </w:rPr>
              <w:t>Pytanie</w:t>
            </w:r>
          </w:p>
        </w:tc>
        <w:tc>
          <w:tcPr>
            <w:tcW w:w="992" w:type="dxa"/>
            <w:tcBorders>
              <w:bottom w:val="single" w:sz="6" w:space="0" w:color="auto"/>
            </w:tcBorders>
            <w:shd w:val="clear" w:color="auto" w:fill="D9D9D9" w:themeFill="background1" w:themeFillShade="D9"/>
          </w:tcPr>
          <w:p w14:paraId="04FE66DC" w14:textId="77777777" w:rsidR="00F156EB" w:rsidRPr="00F156EB" w:rsidRDefault="00F156EB" w:rsidP="00B8692A">
            <w:pPr>
              <w:rPr>
                <w:rFonts w:cs="Arial"/>
                <w:b/>
              </w:rPr>
            </w:pPr>
            <w:r w:rsidRPr="00F156EB">
              <w:rPr>
                <w:rFonts w:cs="Arial"/>
                <w:b/>
              </w:rPr>
              <w:t>TAK</w:t>
            </w:r>
          </w:p>
        </w:tc>
        <w:tc>
          <w:tcPr>
            <w:tcW w:w="985" w:type="dxa"/>
            <w:tcBorders>
              <w:bottom w:val="single" w:sz="6" w:space="0" w:color="auto"/>
            </w:tcBorders>
            <w:shd w:val="clear" w:color="auto" w:fill="D9D9D9" w:themeFill="background1" w:themeFillShade="D9"/>
          </w:tcPr>
          <w:p w14:paraId="2EBCBD38" w14:textId="77777777" w:rsidR="00F156EB" w:rsidRPr="00F156EB" w:rsidRDefault="00F156EB" w:rsidP="00B8692A">
            <w:pPr>
              <w:rPr>
                <w:rFonts w:cs="Arial"/>
                <w:b/>
              </w:rPr>
            </w:pPr>
            <w:r w:rsidRPr="00F156EB">
              <w:rPr>
                <w:rFonts w:cs="Arial"/>
                <w:b/>
              </w:rPr>
              <w:t>NIE</w:t>
            </w:r>
          </w:p>
        </w:tc>
      </w:tr>
      <w:tr w:rsidR="00AB34B5" w14:paraId="6FFA84EE" w14:textId="77777777" w:rsidTr="00AB34B5">
        <w:tc>
          <w:tcPr>
            <w:tcW w:w="7083" w:type="dxa"/>
            <w:tcBorders>
              <w:top w:val="single" w:sz="6" w:space="0" w:color="auto"/>
              <w:left w:val="single" w:sz="6" w:space="0" w:color="auto"/>
              <w:bottom w:val="single" w:sz="6" w:space="0" w:color="auto"/>
              <w:right w:val="nil"/>
            </w:tcBorders>
          </w:tcPr>
          <w:p w14:paraId="791983ED" w14:textId="77777777" w:rsidR="00AB34B5" w:rsidRPr="00F156EB" w:rsidRDefault="00AB34B5" w:rsidP="00B8692A">
            <w:pPr>
              <w:rPr>
                <w:rFonts w:cs="Arial"/>
                <w:b/>
              </w:rPr>
            </w:pPr>
            <w:r w:rsidRPr="00F156EB">
              <w:rPr>
                <w:rFonts w:cs="Arial"/>
                <w:b/>
              </w:rPr>
              <w:t>I. Kwalifikacje uznawane na rynku</w:t>
            </w:r>
          </w:p>
        </w:tc>
        <w:tc>
          <w:tcPr>
            <w:tcW w:w="992" w:type="dxa"/>
            <w:tcBorders>
              <w:top w:val="single" w:sz="6" w:space="0" w:color="auto"/>
              <w:left w:val="nil"/>
              <w:bottom w:val="single" w:sz="6" w:space="0" w:color="auto"/>
              <w:right w:val="nil"/>
            </w:tcBorders>
          </w:tcPr>
          <w:p w14:paraId="62E7209E" w14:textId="77777777" w:rsidR="00AB34B5" w:rsidRPr="00F156EB" w:rsidRDefault="00AB34B5" w:rsidP="00B8692A">
            <w:pPr>
              <w:rPr>
                <w:rFonts w:cs="Arial"/>
                <w:b/>
              </w:rPr>
            </w:pPr>
          </w:p>
        </w:tc>
        <w:tc>
          <w:tcPr>
            <w:tcW w:w="985" w:type="dxa"/>
            <w:tcBorders>
              <w:top w:val="single" w:sz="6" w:space="0" w:color="auto"/>
              <w:left w:val="nil"/>
              <w:bottom w:val="single" w:sz="6" w:space="0" w:color="auto"/>
              <w:right w:val="single" w:sz="6" w:space="0" w:color="auto"/>
            </w:tcBorders>
          </w:tcPr>
          <w:p w14:paraId="26038463" w14:textId="1DA90B0C" w:rsidR="00AB34B5" w:rsidRPr="00F156EB" w:rsidRDefault="00AB34B5" w:rsidP="00B8692A">
            <w:pPr>
              <w:rPr>
                <w:rFonts w:cs="Arial"/>
                <w:b/>
              </w:rPr>
            </w:pPr>
          </w:p>
        </w:tc>
      </w:tr>
      <w:tr w:rsidR="00F156EB" w14:paraId="46510381" w14:textId="77777777" w:rsidTr="00AB34B5">
        <w:tc>
          <w:tcPr>
            <w:tcW w:w="7083" w:type="dxa"/>
            <w:tcBorders>
              <w:top w:val="single" w:sz="6" w:space="0" w:color="auto"/>
            </w:tcBorders>
          </w:tcPr>
          <w:p w14:paraId="78CA9CC9" w14:textId="64A34BFA" w:rsidR="00F156EB" w:rsidRPr="00F94423" w:rsidRDefault="00F94423" w:rsidP="00D13388">
            <w:pPr>
              <w:ind w:left="175" w:hanging="142"/>
              <w:rPr>
                <w:rFonts w:cs="Arial"/>
              </w:rPr>
            </w:pPr>
            <w:r>
              <w:rPr>
                <w:rFonts w:cs="Arial"/>
              </w:rPr>
              <w:t>1</w:t>
            </w:r>
            <w:r w:rsidR="00304DDD">
              <w:rPr>
                <w:rFonts w:cs="Arial"/>
              </w:rPr>
              <w:t>.</w:t>
            </w:r>
            <w:r>
              <w:rPr>
                <w:rFonts w:cs="Arial"/>
              </w:rPr>
              <w:t xml:space="preserve"> </w:t>
            </w:r>
            <w:r w:rsidR="00F156EB" w:rsidRPr="00F94423">
              <w:rPr>
                <w:rFonts w:cs="Arial"/>
              </w:rPr>
              <w:t>Czy wydany dokument jest potwierdzeniem uzyskania kwalifikacji w zawodzie?</w:t>
            </w:r>
          </w:p>
        </w:tc>
        <w:tc>
          <w:tcPr>
            <w:tcW w:w="992" w:type="dxa"/>
            <w:tcBorders>
              <w:top w:val="single" w:sz="6" w:space="0" w:color="auto"/>
            </w:tcBorders>
          </w:tcPr>
          <w:p w14:paraId="0FEDD4D1" w14:textId="77777777" w:rsidR="00F156EB" w:rsidRDefault="00F156EB" w:rsidP="00B8692A">
            <w:pPr>
              <w:rPr>
                <w:rFonts w:cs="Arial"/>
              </w:rPr>
            </w:pPr>
          </w:p>
        </w:tc>
        <w:tc>
          <w:tcPr>
            <w:tcW w:w="985" w:type="dxa"/>
            <w:tcBorders>
              <w:top w:val="single" w:sz="6" w:space="0" w:color="auto"/>
            </w:tcBorders>
          </w:tcPr>
          <w:p w14:paraId="320A0AE7" w14:textId="77777777" w:rsidR="00F156EB" w:rsidRDefault="00F156EB" w:rsidP="00B8692A">
            <w:pPr>
              <w:rPr>
                <w:rFonts w:cs="Arial"/>
              </w:rPr>
            </w:pPr>
          </w:p>
        </w:tc>
      </w:tr>
      <w:tr w:rsidR="00F156EB" w14:paraId="428D8790" w14:textId="77777777" w:rsidTr="00F156EB">
        <w:tc>
          <w:tcPr>
            <w:tcW w:w="7083" w:type="dxa"/>
          </w:tcPr>
          <w:p w14:paraId="2D003F8F" w14:textId="34A9005A" w:rsidR="00F156EB" w:rsidRPr="00F94423" w:rsidRDefault="00F94423" w:rsidP="00D13388">
            <w:pPr>
              <w:ind w:left="175" w:hanging="142"/>
              <w:rPr>
                <w:rFonts w:cs="Arial"/>
              </w:rPr>
            </w:pPr>
            <w:r>
              <w:rPr>
                <w:rFonts w:cs="Arial"/>
              </w:rPr>
              <w:t>2</w:t>
            </w:r>
            <w:r w:rsidR="00304DDD">
              <w:rPr>
                <w:rFonts w:cs="Arial"/>
              </w:rPr>
              <w:t>.</w:t>
            </w:r>
            <w:r>
              <w:rPr>
                <w:rFonts w:cs="Arial"/>
              </w:rPr>
              <w:t xml:space="preserve"> </w:t>
            </w:r>
            <w:r w:rsidR="00F156EB" w:rsidRPr="00F94423">
              <w:rPr>
                <w:rFonts w:cs="Arial"/>
              </w:rPr>
              <w:t>Czy dokument został wydany przez organy władz publicznych lub samorządów zawodowych na podstawie ustawy lub rozporządzenia?</w:t>
            </w:r>
          </w:p>
        </w:tc>
        <w:tc>
          <w:tcPr>
            <w:tcW w:w="992" w:type="dxa"/>
          </w:tcPr>
          <w:p w14:paraId="7D9326AA" w14:textId="77777777" w:rsidR="00F156EB" w:rsidRDefault="00F156EB" w:rsidP="00B8692A">
            <w:pPr>
              <w:rPr>
                <w:rFonts w:cs="Arial"/>
              </w:rPr>
            </w:pPr>
          </w:p>
        </w:tc>
        <w:tc>
          <w:tcPr>
            <w:tcW w:w="985" w:type="dxa"/>
          </w:tcPr>
          <w:p w14:paraId="113F402C" w14:textId="77777777" w:rsidR="00F156EB" w:rsidRDefault="00F156EB" w:rsidP="00B8692A">
            <w:pPr>
              <w:rPr>
                <w:rFonts w:cs="Arial"/>
              </w:rPr>
            </w:pPr>
          </w:p>
        </w:tc>
      </w:tr>
      <w:tr w:rsidR="00F156EB" w14:paraId="4A13E4D8" w14:textId="77777777" w:rsidTr="00F156EB">
        <w:tc>
          <w:tcPr>
            <w:tcW w:w="7083" w:type="dxa"/>
          </w:tcPr>
          <w:p w14:paraId="4A968643" w14:textId="05604854" w:rsidR="00F156EB" w:rsidRPr="00D13388" w:rsidRDefault="00D13388" w:rsidP="00D13388">
            <w:pPr>
              <w:ind w:left="175" w:hanging="142"/>
              <w:rPr>
                <w:rFonts w:cs="Arial"/>
              </w:rPr>
            </w:pPr>
            <w:r>
              <w:rPr>
                <w:rFonts w:cs="Arial"/>
              </w:rPr>
              <w:t>3</w:t>
            </w:r>
            <w:r w:rsidR="00304DDD">
              <w:rPr>
                <w:rFonts w:cs="Arial"/>
              </w:rPr>
              <w:t>.</w:t>
            </w:r>
            <w:r>
              <w:rPr>
                <w:rFonts w:cs="Arial"/>
              </w:rPr>
              <w:t xml:space="preserve"> </w:t>
            </w:r>
            <w:r w:rsidR="00F156EB" w:rsidRPr="00D13388">
              <w:rPr>
                <w:rFonts w:cs="Arial"/>
              </w:rPr>
              <w:t>Czy dokument potwierdza uprawnienia do wykonywania zawodu na</w:t>
            </w:r>
            <w:r>
              <w:rPr>
                <w:rFonts w:cs="Arial"/>
              </w:rPr>
              <w:t> </w:t>
            </w:r>
            <w:r w:rsidR="00F156EB" w:rsidRPr="00D13388">
              <w:rPr>
                <w:rFonts w:cs="Arial"/>
              </w:rPr>
              <w:t>danym stanowisku (tzw. uprawnienia stanowiskowe) i jest wydawany po przeprowadzeniu walidacji?</w:t>
            </w:r>
          </w:p>
        </w:tc>
        <w:tc>
          <w:tcPr>
            <w:tcW w:w="992" w:type="dxa"/>
          </w:tcPr>
          <w:p w14:paraId="0BA9A836" w14:textId="77777777" w:rsidR="00F156EB" w:rsidRDefault="00F156EB" w:rsidP="00B8692A">
            <w:pPr>
              <w:rPr>
                <w:rFonts w:cs="Arial"/>
              </w:rPr>
            </w:pPr>
          </w:p>
        </w:tc>
        <w:tc>
          <w:tcPr>
            <w:tcW w:w="985" w:type="dxa"/>
          </w:tcPr>
          <w:p w14:paraId="06A6DA5D" w14:textId="77777777" w:rsidR="00F156EB" w:rsidRDefault="00F156EB" w:rsidP="00B8692A">
            <w:pPr>
              <w:rPr>
                <w:rFonts w:cs="Arial"/>
              </w:rPr>
            </w:pPr>
          </w:p>
        </w:tc>
      </w:tr>
      <w:tr w:rsidR="00F156EB" w14:paraId="09E53C06" w14:textId="77777777" w:rsidTr="00F156EB">
        <w:tc>
          <w:tcPr>
            <w:tcW w:w="7083" w:type="dxa"/>
          </w:tcPr>
          <w:p w14:paraId="783F221C" w14:textId="59C37C2E" w:rsidR="00F156EB" w:rsidRPr="00D13388" w:rsidRDefault="00D13388" w:rsidP="00D13388">
            <w:pPr>
              <w:ind w:left="175" w:hanging="142"/>
              <w:rPr>
                <w:rFonts w:cs="Arial"/>
              </w:rPr>
            </w:pPr>
            <w:r>
              <w:rPr>
                <w:rFonts w:cs="Arial"/>
              </w:rPr>
              <w:t>4</w:t>
            </w:r>
            <w:r w:rsidR="00304DDD">
              <w:rPr>
                <w:rFonts w:cs="Arial"/>
              </w:rPr>
              <w:t>.</w:t>
            </w:r>
            <w:r>
              <w:rPr>
                <w:rFonts w:cs="Arial"/>
              </w:rPr>
              <w:t xml:space="preserve"> </w:t>
            </w:r>
            <w:r w:rsidR="00F156EB" w:rsidRPr="00D13388">
              <w:rPr>
                <w:rFonts w:cs="Arial"/>
              </w:rP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p>
        </w:tc>
        <w:tc>
          <w:tcPr>
            <w:tcW w:w="992" w:type="dxa"/>
          </w:tcPr>
          <w:p w14:paraId="290C7EBD" w14:textId="77777777" w:rsidR="00F156EB" w:rsidRDefault="00F156EB" w:rsidP="00B8692A">
            <w:pPr>
              <w:rPr>
                <w:rFonts w:cs="Arial"/>
              </w:rPr>
            </w:pPr>
          </w:p>
        </w:tc>
        <w:tc>
          <w:tcPr>
            <w:tcW w:w="985" w:type="dxa"/>
          </w:tcPr>
          <w:p w14:paraId="5F66E828" w14:textId="77777777" w:rsidR="00F156EB" w:rsidRDefault="00F156EB" w:rsidP="00B8692A">
            <w:pPr>
              <w:rPr>
                <w:rFonts w:cs="Arial"/>
              </w:rPr>
            </w:pPr>
          </w:p>
        </w:tc>
      </w:tr>
      <w:tr w:rsidR="00F156EB" w14:paraId="15A0646B" w14:textId="77777777" w:rsidTr="00AB34B5">
        <w:tc>
          <w:tcPr>
            <w:tcW w:w="7083" w:type="dxa"/>
            <w:tcBorders>
              <w:bottom w:val="single" w:sz="6" w:space="0" w:color="auto"/>
            </w:tcBorders>
          </w:tcPr>
          <w:p w14:paraId="3A3C5E77" w14:textId="3B7FDD5C" w:rsidR="00F156EB" w:rsidRPr="00CC3960" w:rsidRDefault="00CC3960" w:rsidP="00CC3960">
            <w:pPr>
              <w:ind w:left="175" w:hanging="142"/>
              <w:rPr>
                <w:rFonts w:cs="Arial"/>
              </w:rPr>
            </w:pPr>
            <w:r>
              <w:rPr>
                <w:rFonts w:cs="Arial"/>
              </w:rPr>
              <w:t>5</w:t>
            </w:r>
            <w:r w:rsidR="00304DDD">
              <w:rPr>
                <w:rFonts w:cs="Arial"/>
              </w:rPr>
              <w:t>.</w:t>
            </w:r>
            <w:r>
              <w:rPr>
                <w:rFonts w:cs="Arial"/>
              </w:rPr>
              <w:t xml:space="preserve"> </w:t>
            </w:r>
            <w:r w:rsidR="00F156EB" w:rsidRPr="00CC3960">
              <w:rPr>
                <w:rFonts w:cs="Arial"/>
              </w:rPr>
              <w:t>Czy dokument jest certyfikatem, dla którego wypracowano system walidacji i certyfikowania efektów uczenia się na poziomie międzynarodowym?</w:t>
            </w:r>
          </w:p>
        </w:tc>
        <w:tc>
          <w:tcPr>
            <w:tcW w:w="992" w:type="dxa"/>
            <w:tcBorders>
              <w:bottom w:val="single" w:sz="6" w:space="0" w:color="auto"/>
            </w:tcBorders>
          </w:tcPr>
          <w:p w14:paraId="3900BC1E" w14:textId="77777777" w:rsidR="00F156EB" w:rsidRDefault="00F156EB" w:rsidP="00B8692A">
            <w:pPr>
              <w:rPr>
                <w:rFonts w:cs="Arial"/>
              </w:rPr>
            </w:pPr>
          </w:p>
        </w:tc>
        <w:tc>
          <w:tcPr>
            <w:tcW w:w="985" w:type="dxa"/>
            <w:tcBorders>
              <w:bottom w:val="single" w:sz="6" w:space="0" w:color="auto"/>
            </w:tcBorders>
          </w:tcPr>
          <w:p w14:paraId="6C3DB046" w14:textId="77777777" w:rsidR="00F156EB" w:rsidRDefault="00F156EB" w:rsidP="00B8692A">
            <w:pPr>
              <w:rPr>
                <w:rFonts w:cs="Arial"/>
              </w:rPr>
            </w:pPr>
          </w:p>
        </w:tc>
      </w:tr>
      <w:tr w:rsidR="00AB34B5" w14:paraId="76D166D2" w14:textId="77777777" w:rsidTr="00AB34B5">
        <w:tc>
          <w:tcPr>
            <w:tcW w:w="7083" w:type="dxa"/>
            <w:tcBorders>
              <w:top w:val="single" w:sz="6" w:space="0" w:color="auto"/>
              <w:left w:val="single" w:sz="6" w:space="0" w:color="auto"/>
              <w:bottom w:val="single" w:sz="6" w:space="0" w:color="auto"/>
              <w:right w:val="nil"/>
            </w:tcBorders>
          </w:tcPr>
          <w:p w14:paraId="6C1AD115" w14:textId="77777777" w:rsidR="00AB34B5" w:rsidRPr="00304DDD" w:rsidRDefault="00AB34B5" w:rsidP="00F156EB">
            <w:pPr>
              <w:rPr>
                <w:rFonts w:cs="Arial"/>
                <w:bCs/>
              </w:rPr>
            </w:pPr>
            <w:r w:rsidRPr="00304DDD">
              <w:rPr>
                <w:rFonts w:cs="Arial"/>
                <w:bCs/>
              </w:rPr>
              <w:t xml:space="preserve">Jeżeli </w:t>
            </w:r>
            <w:r w:rsidRPr="00304DDD">
              <w:rPr>
                <w:rFonts w:cs="Arial"/>
                <w:b/>
              </w:rPr>
              <w:t>co najmniej jedna</w:t>
            </w:r>
            <w:r w:rsidRPr="00304DDD">
              <w:rPr>
                <w:rFonts w:cs="Arial"/>
                <w:bCs/>
              </w:rPr>
              <w:t xml:space="preserve"> z odpowiedzi jest </w:t>
            </w:r>
            <w:r w:rsidRPr="00304DDD">
              <w:rPr>
                <w:rFonts w:cs="Arial"/>
                <w:b/>
              </w:rPr>
              <w:t xml:space="preserve">twierdząca, dany dokument można uznać za potwierdzający uzyskanie kwalifikacji. </w:t>
            </w:r>
          </w:p>
          <w:p w14:paraId="5453BDBA" w14:textId="23DCE3C5" w:rsidR="00AB34B5" w:rsidRPr="00F156EB" w:rsidRDefault="00AB34B5" w:rsidP="00F156EB">
            <w:pPr>
              <w:rPr>
                <w:rFonts w:cs="Arial"/>
                <w:b/>
                <w:u w:val="single"/>
              </w:rPr>
            </w:pPr>
            <w:r w:rsidRPr="00304DDD">
              <w:rPr>
                <w:rFonts w:cs="Arial"/>
                <w:bCs/>
              </w:rPr>
              <w:t>Jeżeli na żadne z powyższych pytań nie udzielono odpowiedzi twierdzącej, należy przejść do pkt II.</w:t>
            </w:r>
          </w:p>
        </w:tc>
        <w:tc>
          <w:tcPr>
            <w:tcW w:w="992" w:type="dxa"/>
            <w:tcBorders>
              <w:top w:val="single" w:sz="6" w:space="0" w:color="auto"/>
              <w:left w:val="nil"/>
              <w:bottom w:val="single" w:sz="6" w:space="0" w:color="auto"/>
              <w:right w:val="nil"/>
            </w:tcBorders>
          </w:tcPr>
          <w:p w14:paraId="42F4C7E9" w14:textId="672A9DE7" w:rsidR="00AB34B5" w:rsidRDefault="00AB34B5" w:rsidP="00F156EB">
            <w:pPr>
              <w:rPr>
                <w:rFonts w:cs="Arial"/>
              </w:rPr>
            </w:pPr>
          </w:p>
        </w:tc>
        <w:tc>
          <w:tcPr>
            <w:tcW w:w="985" w:type="dxa"/>
            <w:tcBorders>
              <w:top w:val="single" w:sz="6" w:space="0" w:color="auto"/>
              <w:left w:val="nil"/>
              <w:bottom w:val="single" w:sz="6" w:space="0" w:color="auto"/>
              <w:right w:val="single" w:sz="6" w:space="0" w:color="auto"/>
            </w:tcBorders>
          </w:tcPr>
          <w:p w14:paraId="3BC45A85" w14:textId="3415CA0B" w:rsidR="00AB34B5" w:rsidRDefault="00AB34B5" w:rsidP="00F156EB">
            <w:pPr>
              <w:rPr>
                <w:rFonts w:cs="Arial"/>
              </w:rPr>
            </w:pPr>
          </w:p>
        </w:tc>
      </w:tr>
      <w:tr w:rsidR="00AB34B5" w:rsidRPr="00F156EB" w14:paraId="105E467E" w14:textId="77777777" w:rsidTr="00AB34B5">
        <w:tc>
          <w:tcPr>
            <w:tcW w:w="7083" w:type="dxa"/>
            <w:tcBorders>
              <w:top w:val="single" w:sz="6" w:space="0" w:color="auto"/>
              <w:left w:val="single" w:sz="6" w:space="0" w:color="auto"/>
              <w:bottom w:val="single" w:sz="6" w:space="0" w:color="auto"/>
              <w:right w:val="nil"/>
            </w:tcBorders>
          </w:tcPr>
          <w:p w14:paraId="4607E6DB" w14:textId="77777777" w:rsidR="00AB34B5" w:rsidRPr="00F156EB" w:rsidRDefault="00AB34B5" w:rsidP="00F156EB">
            <w:pPr>
              <w:rPr>
                <w:rFonts w:cs="Arial"/>
                <w:b/>
              </w:rPr>
            </w:pPr>
            <w:r w:rsidRPr="00F156EB">
              <w:rPr>
                <w:rFonts w:cs="Arial"/>
                <w:b/>
              </w:rPr>
              <w:t>II. Warunki umożliwiające uznanie danego dokumentu za potwierdzający uzyskanie kompetencji</w:t>
            </w:r>
          </w:p>
        </w:tc>
        <w:tc>
          <w:tcPr>
            <w:tcW w:w="992" w:type="dxa"/>
            <w:tcBorders>
              <w:top w:val="single" w:sz="6" w:space="0" w:color="auto"/>
              <w:left w:val="nil"/>
              <w:bottom w:val="single" w:sz="6" w:space="0" w:color="auto"/>
              <w:right w:val="nil"/>
            </w:tcBorders>
          </w:tcPr>
          <w:p w14:paraId="383031C1"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5A628391" w14:textId="6BFF8E6D" w:rsidR="00AB34B5" w:rsidRPr="00F156EB" w:rsidRDefault="00AB34B5" w:rsidP="00F156EB">
            <w:pPr>
              <w:rPr>
                <w:rFonts w:cs="Arial"/>
                <w:b/>
              </w:rPr>
            </w:pPr>
          </w:p>
        </w:tc>
      </w:tr>
      <w:tr w:rsidR="00F156EB" w14:paraId="4566CE4D" w14:textId="77777777" w:rsidTr="00AB34B5">
        <w:tc>
          <w:tcPr>
            <w:tcW w:w="7083" w:type="dxa"/>
            <w:tcBorders>
              <w:top w:val="single" w:sz="6" w:space="0" w:color="auto"/>
            </w:tcBorders>
          </w:tcPr>
          <w:p w14:paraId="0BC30A12" w14:textId="77777777" w:rsidR="00F156EB" w:rsidRPr="00F156EB" w:rsidRDefault="00F156EB" w:rsidP="00F156EB">
            <w:pPr>
              <w:rPr>
                <w:rFonts w:cs="Arial"/>
              </w:rPr>
            </w:pPr>
            <w:r w:rsidRPr="00B8692A">
              <w:rPr>
                <w:rFonts w:cs="Arial"/>
              </w:rPr>
              <w:t>1. Czy dokument potwierdzający uzyskanie kompetencji zawiera opis efektów uczenia się</w:t>
            </w:r>
            <w:r>
              <w:rPr>
                <w:rStyle w:val="Odwoanieprzypisudolnego"/>
                <w:rFonts w:cs="Arial"/>
              </w:rPr>
              <w:footnoteReference w:id="17"/>
            </w:r>
            <w:r w:rsidRPr="00B8692A">
              <w:rPr>
                <w:rFonts w:cs="Arial"/>
              </w:rPr>
              <w:t>?</w:t>
            </w:r>
          </w:p>
        </w:tc>
        <w:tc>
          <w:tcPr>
            <w:tcW w:w="992" w:type="dxa"/>
            <w:tcBorders>
              <w:top w:val="single" w:sz="6" w:space="0" w:color="auto"/>
            </w:tcBorders>
          </w:tcPr>
          <w:p w14:paraId="54661427" w14:textId="77777777" w:rsidR="00F156EB" w:rsidRDefault="00F156EB" w:rsidP="00F156EB">
            <w:pPr>
              <w:rPr>
                <w:rFonts w:cs="Arial"/>
              </w:rPr>
            </w:pPr>
          </w:p>
        </w:tc>
        <w:tc>
          <w:tcPr>
            <w:tcW w:w="985" w:type="dxa"/>
            <w:tcBorders>
              <w:top w:val="single" w:sz="6" w:space="0" w:color="auto"/>
            </w:tcBorders>
          </w:tcPr>
          <w:p w14:paraId="6B1FFE2C" w14:textId="77777777" w:rsidR="00F156EB" w:rsidRDefault="00F156EB" w:rsidP="00F156EB">
            <w:pPr>
              <w:rPr>
                <w:rFonts w:cs="Arial"/>
              </w:rPr>
            </w:pPr>
          </w:p>
        </w:tc>
      </w:tr>
      <w:tr w:rsidR="00F156EB" w14:paraId="10CEF9DD" w14:textId="77777777" w:rsidTr="00F156EB">
        <w:tc>
          <w:tcPr>
            <w:tcW w:w="7083" w:type="dxa"/>
          </w:tcPr>
          <w:p w14:paraId="1405449B" w14:textId="64F18123" w:rsidR="00F156EB" w:rsidRPr="00F156EB" w:rsidRDefault="00F156EB" w:rsidP="00F156EB">
            <w:pPr>
              <w:rPr>
                <w:rFonts w:cs="Arial"/>
              </w:rPr>
            </w:pPr>
            <w:r w:rsidRPr="00B8692A">
              <w:rPr>
                <w:rFonts w:cs="Arial"/>
              </w:rPr>
              <w:t>2. Czy dokument potwierdza, że walidacja została przeprowadzona w</w:t>
            </w:r>
            <w:r w:rsidR="00304DDD">
              <w:rPr>
                <w:rFonts w:cs="Arial"/>
              </w:rPr>
              <w:t> </w:t>
            </w:r>
            <w:r w:rsidRPr="00B8692A">
              <w:rPr>
                <w:rFonts w:cs="Arial"/>
              </w:rPr>
              <w:t>oparciu o zdefiniowane w efektach uczenia się kryteria ich weryfikacji?</w:t>
            </w:r>
          </w:p>
        </w:tc>
        <w:tc>
          <w:tcPr>
            <w:tcW w:w="992" w:type="dxa"/>
          </w:tcPr>
          <w:p w14:paraId="29259F9D" w14:textId="77777777" w:rsidR="00F156EB" w:rsidRDefault="00F156EB" w:rsidP="00F156EB">
            <w:pPr>
              <w:rPr>
                <w:rFonts w:cs="Arial"/>
              </w:rPr>
            </w:pPr>
          </w:p>
        </w:tc>
        <w:tc>
          <w:tcPr>
            <w:tcW w:w="985" w:type="dxa"/>
          </w:tcPr>
          <w:p w14:paraId="23691172" w14:textId="77777777" w:rsidR="00F156EB" w:rsidRDefault="00F156EB" w:rsidP="00F156EB">
            <w:pPr>
              <w:rPr>
                <w:rFonts w:cs="Arial"/>
              </w:rPr>
            </w:pPr>
          </w:p>
        </w:tc>
      </w:tr>
      <w:tr w:rsidR="00F156EB" w14:paraId="0C0C2024" w14:textId="77777777" w:rsidTr="00AB34B5">
        <w:tc>
          <w:tcPr>
            <w:tcW w:w="7083" w:type="dxa"/>
            <w:tcBorders>
              <w:bottom w:val="single" w:sz="6" w:space="0" w:color="auto"/>
            </w:tcBorders>
          </w:tcPr>
          <w:p w14:paraId="6F5456A5" w14:textId="77777777" w:rsidR="00F156EB" w:rsidRPr="00F156EB" w:rsidRDefault="00F156EB" w:rsidP="00F156EB">
            <w:pPr>
              <w:rPr>
                <w:rFonts w:cs="Arial"/>
              </w:rPr>
            </w:pPr>
            <w:r w:rsidRPr="00B8692A">
              <w:rPr>
                <w:rFonts w:cs="Arial"/>
              </w:rPr>
              <w:t>3. Czy dokument potwierdza zastosowanie rozwiązań zapewniających rozdzielenie procesów kształcenia i szkolenia od walidacji?</w:t>
            </w:r>
            <w:r>
              <w:rPr>
                <w:rStyle w:val="Odwoanieprzypisudolnego"/>
                <w:rFonts w:cs="Arial"/>
              </w:rPr>
              <w:footnoteReference w:id="18"/>
            </w:r>
          </w:p>
        </w:tc>
        <w:tc>
          <w:tcPr>
            <w:tcW w:w="992" w:type="dxa"/>
            <w:tcBorders>
              <w:bottom w:val="single" w:sz="6" w:space="0" w:color="auto"/>
            </w:tcBorders>
          </w:tcPr>
          <w:p w14:paraId="118CDD19" w14:textId="77777777" w:rsidR="00F156EB" w:rsidRDefault="00F156EB" w:rsidP="00F156EB">
            <w:pPr>
              <w:rPr>
                <w:rFonts w:cs="Arial"/>
              </w:rPr>
            </w:pPr>
          </w:p>
        </w:tc>
        <w:tc>
          <w:tcPr>
            <w:tcW w:w="985" w:type="dxa"/>
            <w:tcBorders>
              <w:bottom w:val="single" w:sz="6" w:space="0" w:color="auto"/>
            </w:tcBorders>
          </w:tcPr>
          <w:p w14:paraId="640AC3F3" w14:textId="77777777" w:rsidR="00F156EB" w:rsidRDefault="00F156EB" w:rsidP="00F156EB">
            <w:pPr>
              <w:rPr>
                <w:rFonts w:cs="Arial"/>
              </w:rPr>
            </w:pPr>
          </w:p>
        </w:tc>
      </w:tr>
      <w:tr w:rsidR="00AB34B5" w14:paraId="692AB41A" w14:textId="77777777" w:rsidTr="00AB34B5">
        <w:tc>
          <w:tcPr>
            <w:tcW w:w="7083" w:type="dxa"/>
            <w:tcBorders>
              <w:top w:val="single" w:sz="6" w:space="0" w:color="auto"/>
              <w:left w:val="single" w:sz="6" w:space="0" w:color="auto"/>
              <w:bottom w:val="single" w:sz="6" w:space="0" w:color="auto"/>
              <w:right w:val="nil"/>
            </w:tcBorders>
          </w:tcPr>
          <w:p w14:paraId="19D0FFC5" w14:textId="77777777" w:rsidR="00AB34B5" w:rsidRPr="00304DDD" w:rsidRDefault="00AB34B5" w:rsidP="00F156EB">
            <w:pPr>
              <w:rPr>
                <w:rFonts w:cs="Arial"/>
                <w:bCs/>
              </w:rPr>
            </w:pPr>
            <w:r w:rsidRPr="00304DDD">
              <w:rPr>
                <w:rFonts w:cs="Arial"/>
                <w:bCs/>
              </w:rPr>
              <w:t xml:space="preserve">Jeżeli na </w:t>
            </w:r>
            <w:r w:rsidRPr="00304DDD">
              <w:rPr>
                <w:rFonts w:cs="Arial"/>
                <w:b/>
              </w:rPr>
              <w:t xml:space="preserve">każde </w:t>
            </w:r>
            <w:r w:rsidRPr="00304DDD">
              <w:rPr>
                <w:rFonts w:cs="Arial"/>
                <w:bCs/>
              </w:rPr>
              <w:t xml:space="preserve">z powyższych pytań z części II listy odpowiedź jest </w:t>
            </w:r>
            <w:r w:rsidRPr="00304DDD">
              <w:rPr>
                <w:rFonts w:cs="Arial"/>
                <w:b/>
              </w:rPr>
              <w:t>twierdząca,</w:t>
            </w:r>
            <w:r w:rsidRPr="00304DDD">
              <w:rPr>
                <w:rFonts w:cs="Arial"/>
                <w:bCs/>
              </w:rPr>
              <w:t xml:space="preserve"> dany dokument można uznać za potwierdzający uzyskanie kompetencji.</w:t>
            </w:r>
          </w:p>
        </w:tc>
        <w:tc>
          <w:tcPr>
            <w:tcW w:w="992" w:type="dxa"/>
            <w:tcBorders>
              <w:top w:val="single" w:sz="6" w:space="0" w:color="auto"/>
              <w:left w:val="nil"/>
              <w:bottom w:val="single" w:sz="6" w:space="0" w:color="auto"/>
              <w:right w:val="nil"/>
            </w:tcBorders>
          </w:tcPr>
          <w:p w14:paraId="01F0ECFB"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4839B6E8" w14:textId="56A52D8B" w:rsidR="00AB34B5" w:rsidRPr="00F156EB" w:rsidRDefault="00AB34B5" w:rsidP="00F156EB">
            <w:pPr>
              <w:rPr>
                <w:rFonts w:cs="Arial"/>
                <w:b/>
              </w:rPr>
            </w:pPr>
          </w:p>
        </w:tc>
      </w:tr>
    </w:tbl>
    <w:p w14:paraId="007ED465" w14:textId="77777777" w:rsidR="00E04604" w:rsidRDefault="00F156EB">
      <w:pPr>
        <w:sectPr w:rsidR="00E04604" w:rsidSect="00AE5177">
          <w:pgSz w:w="11906" w:h="16838"/>
          <w:pgMar w:top="1845" w:right="1418" w:bottom="1134" w:left="1418" w:header="709" w:footer="709" w:gutter="0"/>
          <w:cols w:space="708"/>
          <w:titlePg/>
          <w:docGrid w:linePitch="360"/>
        </w:sectPr>
      </w:pPr>
      <w:bookmarkStart w:id="36" w:name="_Toc53578016"/>
      <w:r>
        <w:br w:type="page"/>
      </w:r>
    </w:p>
    <w:p w14:paraId="67A29A82" w14:textId="5DB515D5" w:rsidR="00C90668" w:rsidRPr="0031531D" w:rsidRDefault="006A31A8" w:rsidP="008A773B">
      <w:pPr>
        <w:pStyle w:val="Nagwek3"/>
        <w:rPr>
          <w:b w:val="0"/>
        </w:rPr>
      </w:pPr>
      <w:bookmarkStart w:id="37" w:name="_Toc141428633"/>
      <w:r w:rsidRPr="0031531D">
        <w:t>Załącznik nr</w:t>
      </w:r>
      <w:r w:rsidRPr="000B0EC7">
        <w:rPr>
          <w:bCs/>
        </w:rPr>
        <w:t xml:space="preserve"> </w:t>
      </w:r>
      <w:bookmarkStart w:id="38" w:name="_Toc458671679"/>
      <w:r w:rsidR="00DE024B" w:rsidRPr="000B0EC7">
        <w:rPr>
          <w:bCs/>
        </w:rPr>
        <w:t>4</w:t>
      </w:r>
      <w:r w:rsidR="00DE024B" w:rsidRPr="0031531D">
        <w:rPr>
          <w:b w:val="0"/>
        </w:rPr>
        <w:t xml:space="preserve"> </w:t>
      </w:r>
      <w:r w:rsidR="00A34E8E" w:rsidRPr="0031531D">
        <w:rPr>
          <w:b w:val="0"/>
        </w:rPr>
        <w:t>–</w:t>
      </w:r>
      <w:r w:rsidR="00E50F22" w:rsidRPr="0031531D">
        <w:rPr>
          <w:b w:val="0"/>
        </w:rPr>
        <w:t xml:space="preserve"> </w:t>
      </w:r>
      <w:r>
        <w:t>P</w:t>
      </w:r>
      <w:r w:rsidRPr="0031531D">
        <w:t>rzykładowy wzór oświadczenia uczestnika projektu nt.</w:t>
      </w:r>
      <w:r w:rsidR="001D5485" w:rsidRPr="0031531D">
        <w:rPr>
          <w:b w:val="0"/>
        </w:rPr>
        <w:t> </w:t>
      </w:r>
      <w:r>
        <w:t>j</w:t>
      </w:r>
      <w:r w:rsidRPr="0031531D">
        <w:t>ego sytuacji po zakończeniu udziału w projekcie</w:t>
      </w:r>
      <w:bookmarkEnd w:id="36"/>
      <w:bookmarkEnd w:id="37"/>
      <w:bookmarkEnd w:id="38"/>
    </w:p>
    <w:p w14:paraId="640E5886" w14:textId="7777777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lastRenderedPageBreak/>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r w:rsidRPr="001803B2">
        <w:rPr>
          <w:rFonts w:cstheme="minorHAnsi"/>
        </w:rPr>
        <w:t>(data i czytelny podpis)</w:t>
      </w:r>
    </w:p>
    <w:sectPr w:rsidR="00E12779" w:rsidRPr="001803B2" w:rsidSect="00AE5177">
      <w:pgSz w:w="11906" w:h="16838"/>
      <w:pgMar w:top="184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994D30" w:rsidRDefault="00994D30" w:rsidP="00AA6756">
      <w:pPr>
        <w:spacing w:after="0" w:line="240" w:lineRule="auto"/>
      </w:pPr>
      <w:r>
        <w:separator/>
      </w:r>
    </w:p>
  </w:endnote>
  <w:endnote w:type="continuationSeparator" w:id="0">
    <w:p w14:paraId="703A3E36" w14:textId="77777777" w:rsidR="00994D30" w:rsidRDefault="00994D30"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994D30" w:rsidRDefault="00994D30">
    <w:pPr>
      <w:pStyle w:val="Stopka"/>
    </w:pPr>
    <w:r>
      <w:rPr>
        <w:noProof/>
        <w:lang w:eastAsia="pl-PL"/>
      </w:rPr>
      <w:drawing>
        <wp:inline distT="0" distB="0" distL="0" distR="0" wp14:anchorId="410E6B24" wp14:editId="613125B5">
          <wp:extent cx="7016115" cy="194310"/>
          <wp:effectExtent l="0" t="0" r="0" b="0"/>
          <wp:docPr id="2"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EndPr/>
    <w:sdtContent>
      <w:p w14:paraId="12CDBE72" w14:textId="4D275F7D" w:rsidR="00994D30" w:rsidRDefault="00994D30">
        <w:pPr>
          <w:pStyle w:val="Stopka"/>
          <w:jc w:val="right"/>
        </w:pPr>
        <w:r>
          <w:fldChar w:fldCharType="begin"/>
        </w:r>
        <w:r>
          <w:instrText>PAGE   \* MERGEFORMAT</w:instrText>
        </w:r>
        <w:r>
          <w:fldChar w:fldCharType="separate"/>
        </w:r>
        <w:r>
          <w:t>2</w:t>
        </w:r>
        <w:r>
          <w:fldChar w:fldCharType="end"/>
        </w:r>
      </w:p>
    </w:sdtContent>
  </w:sdt>
  <w:p w14:paraId="10A4FB05" w14:textId="77777777" w:rsidR="00994D30" w:rsidRDefault="00994D3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65F8F953" w:rsidR="00994D30" w:rsidRPr="008F2DE8" w:rsidRDefault="00994D30"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994D30" w:rsidRDefault="00994D30">
    <w:pPr>
      <w:pStyle w:val="Stopka"/>
    </w:pPr>
  </w:p>
  <w:p w14:paraId="79190642" w14:textId="77777777" w:rsidR="00994D30" w:rsidRDefault="00994D3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994D30" w:rsidRDefault="00994D30" w:rsidP="006C3856">
    <w:pPr>
      <w:pStyle w:val="Stopka"/>
      <w:tabs>
        <w:tab w:val="left" w:pos="3686"/>
      </w:tabs>
      <w:jc w:val="right"/>
    </w:pPr>
  </w:p>
  <w:p w14:paraId="19A85654" w14:textId="20778D83" w:rsidR="00994D30" w:rsidRPr="008F2DE8" w:rsidRDefault="00994D30"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6" name="Obraz 6"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994D30" w:rsidRDefault="00994D30" w:rsidP="00AA6756">
      <w:pPr>
        <w:spacing w:after="0" w:line="240" w:lineRule="auto"/>
      </w:pPr>
      <w:r>
        <w:separator/>
      </w:r>
    </w:p>
  </w:footnote>
  <w:footnote w:type="continuationSeparator" w:id="0">
    <w:p w14:paraId="706B75AD" w14:textId="77777777" w:rsidR="00994D30" w:rsidRDefault="00994D30" w:rsidP="00AA6756">
      <w:pPr>
        <w:spacing w:after="0" w:line="240" w:lineRule="auto"/>
      </w:pPr>
      <w:r>
        <w:continuationSeparator/>
      </w:r>
    </w:p>
  </w:footnote>
  <w:footnote w:id="1">
    <w:p w14:paraId="1E6B8E04" w14:textId="29DE1BA6" w:rsidR="00994D30" w:rsidRDefault="00994D30"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1F33FE48" w14:textId="37D89F98" w:rsidR="00994D30" w:rsidRPr="004C1C84" w:rsidRDefault="00994D30" w:rsidP="00EC616B">
      <w:pPr>
        <w:pStyle w:val="Tekstprzypisudolnego"/>
      </w:pPr>
      <w:r w:rsidRPr="00EC616B">
        <w:rPr>
          <w:rStyle w:val="Odwoanieprzypisudolnego"/>
          <w:sz w:val="22"/>
        </w:rPr>
        <w:footnoteRef/>
      </w:r>
      <w:r w:rsidRPr="00EC616B">
        <w:rPr>
          <w:sz w:val="22"/>
        </w:rPr>
        <w:t xml:space="preserve"> Wyjątek stanowi wskaźnik wspólny dotyczący kwalifikacji, którego </w:t>
      </w:r>
      <w:r w:rsidRPr="004C1C84">
        <w:rPr>
          <w:sz w:val="22"/>
        </w:rPr>
        <w:t xml:space="preserve">sposób pomiaru opisano </w:t>
      </w:r>
      <w:r w:rsidRPr="004C1C84">
        <w:rPr>
          <w:color w:val="000000" w:themeColor="text1"/>
          <w:sz w:val="22"/>
        </w:rPr>
        <w:t>w załączniku</w:t>
      </w:r>
      <w:r w:rsidRPr="004C1C84">
        <w:rPr>
          <w:color w:val="FF0000"/>
          <w:sz w:val="22"/>
        </w:rPr>
        <w:t xml:space="preserve"> </w:t>
      </w:r>
      <w:r w:rsidRPr="004C1C84">
        <w:rPr>
          <w:color w:val="000000" w:themeColor="text1"/>
          <w:sz w:val="22"/>
        </w:rPr>
        <w:t>nr 3 do niniejszych zasad.</w:t>
      </w:r>
    </w:p>
  </w:footnote>
  <w:footnote w:id="3">
    <w:p w14:paraId="28AEC6EE" w14:textId="77777777" w:rsidR="00994D30" w:rsidRDefault="00994D30">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4">
    <w:p w14:paraId="6172F442" w14:textId="77777777" w:rsidR="00994D30" w:rsidRDefault="00994D30"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5">
    <w:p w14:paraId="121166B0" w14:textId="77777777" w:rsidR="00994D30" w:rsidRDefault="00994D30"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6">
    <w:p w14:paraId="409D3831" w14:textId="77777777" w:rsidR="00994D30" w:rsidRDefault="00994D30">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7">
    <w:p w14:paraId="6A8189DD" w14:textId="77777777" w:rsidR="00994D30" w:rsidRDefault="00994D30">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8">
    <w:p w14:paraId="0692C9DE" w14:textId="77777777" w:rsidR="00994D30" w:rsidRDefault="00994D30">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9">
    <w:p w14:paraId="4856F050" w14:textId="77777777" w:rsidR="00994D30" w:rsidRDefault="00994D30">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0">
    <w:p w14:paraId="4A4DFC69" w14:textId="5A88C613" w:rsidR="00994D30" w:rsidRDefault="00994D30">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1">
    <w:p w14:paraId="2CD92FB2" w14:textId="77777777" w:rsidR="00994D30" w:rsidRPr="00DB6710" w:rsidRDefault="00994D30">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 w:id="12">
    <w:p w14:paraId="23079A8E" w14:textId="77777777" w:rsidR="00994D30" w:rsidRPr="0063751F" w:rsidRDefault="00994D30">
      <w:pPr>
        <w:pStyle w:val="Tekstprzypisudolnego"/>
        <w:rPr>
          <w:rFonts w:cstheme="minorHAnsi"/>
          <w:sz w:val="22"/>
        </w:rPr>
      </w:pPr>
      <w:r>
        <w:rPr>
          <w:rStyle w:val="Odwoanieprzypisudolnego"/>
        </w:rPr>
        <w:footnoteRef/>
      </w:r>
      <w:r>
        <w:t xml:space="preserve"> </w:t>
      </w:r>
      <w:r w:rsidRPr="0063751F">
        <w:rPr>
          <w:rFonts w:cstheme="minorHAnsi"/>
          <w:sz w:val="22"/>
        </w:rPr>
        <w:t>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w:t>
      </w:r>
    </w:p>
  </w:footnote>
  <w:footnote w:id="13">
    <w:p w14:paraId="75C0F9B9" w14:textId="77777777" w:rsidR="00994D30" w:rsidRPr="0063751F" w:rsidRDefault="00994D30">
      <w:pPr>
        <w:pStyle w:val="Tekstprzypisudolnego"/>
        <w:rPr>
          <w:rFonts w:cstheme="minorHAnsi"/>
        </w:rPr>
      </w:pPr>
      <w:r w:rsidRPr="0063751F">
        <w:rPr>
          <w:rStyle w:val="Odwoanieprzypisudolnego"/>
          <w:rFonts w:cstheme="minorHAnsi"/>
          <w:sz w:val="22"/>
        </w:rPr>
        <w:footnoteRef/>
      </w:r>
      <w:r w:rsidRPr="0063751F">
        <w:rPr>
          <w:rFonts w:cstheme="minorHAnsi"/>
          <w:sz w:val="22"/>
        </w:rPr>
        <w:t xml:space="preserve"> Zgodnie z roboczym dokumentem Komisji Europejskiej Programming period 2021-2027. Common indicators toolbox (wersja z października 2021 r.), kwalifikacje należy rozumieć jako formalny wynik oceny i walidacji, który uzyskuje się w sytuacji, kiedy właściwy podmiot uznaje, że dana osoba osiągnęła efekty uczenia się spełniające określone standardy.</w:t>
      </w:r>
    </w:p>
  </w:footnote>
  <w:footnote w:id="14">
    <w:p w14:paraId="07391AA2" w14:textId="5A073F90" w:rsidR="00994D30" w:rsidRDefault="00994D30">
      <w:pPr>
        <w:pStyle w:val="Tekstprzypisudolnego"/>
      </w:pPr>
      <w:r>
        <w:rPr>
          <w:rStyle w:val="Odwoanieprzypisudolnego"/>
        </w:rPr>
        <w:footnoteRef/>
      </w:r>
      <w:r>
        <w:t xml:space="preserve"> </w:t>
      </w:r>
      <w:r w:rsidRPr="00F949FD">
        <w:rPr>
          <w:rFonts w:cstheme="minorHAnsi"/>
          <w:sz w:val="22"/>
        </w:rPr>
        <w:t xml:space="preserve">Pełną listę kwalifikacji funkcjonujących w ramach ZSK można znaleźć na stronie: </w:t>
      </w:r>
      <w:hyperlink r:id="rId1" w:history="1">
        <w:r w:rsidRPr="00221353">
          <w:rPr>
            <w:rStyle w:val="Hipercze"/>
            <w:rFonts w:cstheme="minorHAnsi"/>
            <w:sz w:val="22"/>
          </w:rPr>
          <w:t>www.kwalifikacje.gov.pl</w:t>
        </w:r>
      </w:hyperlink>
      <w:r>
        <w:rPr>
          <w:rFonts w:cstheme="minorHAnsi"/>
          <w:sz w:val="22"/>
        </w:rPr>
        <w:t xml:space="preserve"> </w:t>
      </w:r>
    </w:p>
  </w:footnote>
  <w:footnote w:id="15">
    <w:p w14:paraId="34BF6609" w14:textId="77777777" w:rsidR="00994D30" w:rsidRPr="00F156EB" w:rsidRDefault="00994D30">
      <w:pPr>
        <w:pStyle w:val="Tekstprzypisudolnego"/>
        <w:rPr>
          <w:rFonts w:cstheme="minorHAnsi"/>
        </w:rPr>
      </w:pPr>
      <w:r w:rsidRPr="00F156EB">
        <w:rPr>
          <w:rStyle w:val="Odwoanieprzypisudolnego"/>
          <w:rFonts w:cstheme="minorHAnsi"/>
          <w:sz w:val="22"/>
        </w:rPr>
        <w:footnoteRef/>
      </w:r>
      <w:r w:rsidRPr="00F156EB">
        <w:rPr>
          <w:rFonts w:cstheme="minorHAnsi"/>
          <w:sz w:val="22"/>
        </w:rPr>
        <w:t xml:space="preserve"> W przypadku Podmiotowych Systemów Finansowania, opis wymagany na etapie II powinien być uwzględniony w karcie usługi w Bazie Usług Rozwojowych. Opis powinien być przygotowany zgodnie z wymaganiami zdefiniowanymi w przypisie 5.</w:t>
      </w:r>
    </w:p>
  </w:footnote>
  <w:footnote w:id="16">
    <w:p w14:paraId="2DBA2F0D" w14:textId="77777777" w:rsidR="00994D30" w:rsidRDefault="00994D30">
      <w:pPr>
        <w:pStyle w:val="Tekstprzypisudolnego"/>
      </w:pPr>
      <w:r>
        <w:rPr>
          <w:rStyle w:val="Odwoanieprzypisudolnego"/>
        </w:rPr>
        <w:footnoteRef/>
      </w:r>
      <w:r>
        <w:t xml:space="preserve"> </w:t>
      </w:r>
      <w:r w:rsidRPr="00F156EB">
        <w:rPr>
          <w:rFonts w:cstheme="minorHAnsi"/>
          <w:sz w:val="22"/>
        </w:rPr>
        <w:t>W przypadku uczniów uczestniczących w zajęciach dodatkowych walidacja może być przeprowadzona przez nauczyciela/osobę prowadzącą zajęcia.</w:t>
      </w:r>
    </w:p>
  </w:footnote>
  <w:footnote w:id="17">
    <w:p w14:paraId="5AABE003" w14:textId="77777777" w:rsidR="00994D30" w:rsidRDefault="00994D30">
      <w:pPr>
        <w:pStyle w:val="Tekstprzypisudolnego"/>
        <w:rPr>
          <w:rFonts w:cs="Arial"/>
          <w:sz w:val="22"/>
        </w:rPr>
      </w:pPr>
      <w:r w:rsidRPr="00F156EB">
        <w:rPr>
          <w:rStyle w:val="Odwoanieprzypisudolnego"/>
          <w:sz w:val="22"/>
        </w:rPr>
        <w:footnoteRef/>
      </w:r>
      <w:r w:rsidRPr="00F156EB">
        <w:rPr>
          <w:sz w:val="22"/>
        </w:rPr>
        <w:t xml:space="preserve"> </w:t>
      </w:r>
      <w:r w:rsidRPr="00F156EB">
        <w:rPr>
          <w:rFonts w:cs="Arial"/>
          <w:sz w:val="22"/>
        </w:rPr>
        <w:t>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w:t>
      </w:r>
    </w:p>
    <w:p w14:paraId="0EBDA836" w14:textId="77777777" w:rsidR="00994D30" w:rsidRPr="00F156EB" w:rsidRDefault="00994D30" w:rsidP="009E064E">
      <w:pPr>
        <w:pStyle w:val="Tekstprzypisudolnego"/>
        <w:numPr>
          <w:ilvl w:val="0"/>
          <w:numId w:val="26"/>
        </w:numPr>
        <w:ind w:left="567" w:hanging="425"/>
        <w:rPr>
          <w:rFonts w:cstheme="minorHAnsi"/>
          <w:sz w:val="22"/>
        </w:rPr>
      </w:pPr>
      <w:r w:rsidRPr="00F156EB">
        <w:rPr>
          <w:rFonts w:cstheme="minorHAnsi"/>
          <w:sz w:val="22"/>
        </w:rPr>
        <w:t>jednoznaczne – niebudzące wątpliwości, pozwalające na zaplanowanie i przeprowadzenie walidacji, których wyniki będą porównywalne;</w:t>
      </w:r>
    </w:p>
    <w:p w14:paraId="1CEAE048" w14:textId="77777777" w:rsidR="00994D30" w:rsidRPr="00F156EB" w:rsidRDefault="00994D30" w:rsidP="009E064E">
      <w:pPr>
        <w:pStyle w:val="Tekstprzypisudolnego"/>
        <w:numPr>
          <w:ilvl w:val="0"/>
          <w:numId w:val="26"/>
        </w:numPr>
        <w:ind w:left="567" w:hanging="425"/>
        <w:rPr>
          <w:rFonts w:cstheme="minorHAnsi"/>
          <w:sz w:val="22"/>
        </w:rPr>
      </w:pPr>
      <w:r w:rsidRPr="00F156EB">
        <w:rPr>
          <w:rFonts w:cstheme="minorHAnsi"/>
          <w:sz w:val="22"/>
        </w:rPr>
        <w:t>realne – możliwe do osiągnięcia przez osoby, dla których dana kompetencja jest przewidziana;</w:t>
      </w:r>
    </w:p>
    <w:p w14:paraId="79AAFAA0" w14:textId="77777777" w:rsidR="00994D30" w:rsidRPr="00F156EB" w:rsidRDefault="00994D30" w:rsidP="009E064E">
      <w:pPr>
        <w:pStyle w:val="Tekstprzypisudolnego"/>
        <w:numPr>
          <w:ilvl w:val="0"/>
          <w:numId w:val="26"/>
        </w:numPr>
        <w:ind w:left="567" w:hanging="425"/>
        <w:rPr>
          <w:rFonts w:cstheme="minorHAnsi"/>
          <w:sz w:val="22"/>
        </w:rPr>
      </w:pPr>
      <w:r w:rsidRPr="00F156EB">
        <w:rPr>
          <w:rFonts w:cstheme="minorHAnsi"/>
          <w:sz w:val="22"/>
        </w:rPr>
        <w:t>możliwe do zweryfikowania podczas walidacji;</w:t>
      </w:r>
    </w:p>
    <w:p w14:paraId="2F5DCF7A" w14:textId="77777777" w:rsidR="00994D30" w:rsidRPr="00F156EB" w:rsidRDefault="00994D30" w:rsidP="009E064E">
      <w:pPr>
        <w:pStyle w:val="Tekstprzypisudolnego"/>
        <w:numPr>
          <w:ilvl w:val="0"/>
          <w:numId w:val="26"/>
        </w:numPr>
        <w:ind w:left="567" w:hanging="425"/>
        <w:rPr>
          <w:rFonts w:cstheme="minorHAnsi"/>
          <w:sz w:val="22"/>
        </w:rPr>
      </w:pPr>
      <w:r w:rsidRPr="00F156EB">
        <w:rPr>
          <w:rFonts w:cstheme="minorHAnsi"/>
          <w:sz w:val="22"/>
        </w:rPr>
        <w:t>zrozumiałe dla osób potencjalnie zainteresowanych kompetencją.</w:t>
      </w:r>
    </w:p>
    <w:p w14:paraId="3CED3ED5" w14:textId="77777777" w:rsidR="00994D30" w:rsidRPr="00F156EB" w:rsidRDefault="00994D30" w:rsidP="00F156EB">
      <w:pPr>
        <w:pStyle w:val="Tekstprzypisudolnego"/>
        <w:rPr>
          <w:rFonts w:cstheme="minorHAnsi"/>
          <w:sz w:val="22"/>
        </w:rPr>
      </w:pPr>
      <w:r w:rsidRPr="00F156EB">
        <w:rPr>
          <w:rFonts w:cstheme="minorHAnsi"/>
          <w:sz w:val="22"/>
        </w:rPr>
        <w:t>Podczas opisywania poszczególnych efektów uczenia się, korzystne jest stosowanie czasowników operacyjnych (np. rozróżnia, uzasadnia, montuje).</w:t>
      </w:r>
    </w:p>
    <w:p w14:paraId="74903E1A" w14:textId="77777777" w:rsidR="00994D30" w:rsidRPr="00F156EB" w:rsidRDefault="00994D30" w:rsidP="00F156EB">
      <w:pPr>
        <w:pStyle w:val="Tekstprzypisudolnego"/>
        <w:rPr>
          <w:sz w:val="22"/>
        </w:rPr>
      </w:pPr>
      <w:r w:rsidRPr="00F156EB">
        <w:rPr>
          <w:rFonts w:cstheme="minorHAnsi"/>
          <w:sz w:val="22"/>
        </w:rPr>
        <w:t xml:space="preserve">Przykłady opisów efektów uczenia się (ich zakresu i poziomu szczegółowości) można znaleźć w ZRK </w:t>
      </w:r>
      <w:r>
        <w:rPr>
          <w:rFonts w:cstheme="minorHAnsi"/>
          <w:sz w:val="22"/>
        </w:rPr>
        <w:br/>
      </w:r>
      <w:r w:rsidRPr="00F156EB">
        <w:rPr>
          <w:rFonts w:cstheme="minorHAnsi"/>
          <w:sz w:val="22"/>
        </w:rPr>
        <w:t>w odniesieniu do kwalifikacji rynkowych.</w:t>
      </w:r>
    </w:p>
  </w:footnote>
  <w:footnote w:id="18">
    <w:p w14:paraId="5CAB6BA5" w14:textId="77777777" w:rsidR="00994D30" w:rsidRDefault="00994D30">
      <w:pPr>
        <w:pStyle w:val="Tekstprzypisudolnego"/>
      </w:pPr>
      <w:r>
        <w:rPr>
          <w:rStyle w:val="Odwoanieprzypisudolnego"/>
        </w:rPr>
        <w:footnoteRef/>
      </w:r>
      <w:r>
        <w:t xml:space="preserve"> </w:t>
      </w:r>
      <w:r w:rsidRPr="00F156EB">
        <w:rPr>
          <w:rFonts w:cstheme="minorHAnsi"/>
        </w:rPr>
        <w:t>W przypadku uczniów uczestniczących w zajęciach dodatkowych walidacja może być przeprowadzona przez nauczyciela/osobę prowadzącą zajęcia</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994D30" w:rsidRDefault="00994D30">
    <w:pPr>
      <w:pStyle w:val="Nagwek"/>
    </w:pPr>
    <w:r>
      <w:rPr>
        <w:noProof/>
        <w:lang w:eastAsia="pl-PL"/>
      </w:rPr>
      <w:drawing>
        <wp:inline distT="0" distB="0" distL="0" distR="0" wp14:anchorId="22E0DCC4" wp14:editId="2781FE88">
          <wp:extent cx="7056120" cy="759460"/>
          <wp:effectExtent l="0" t="0" r="0" b="2540"/>
          <wp:docPr id="1" name="Obraz 1"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994D30" w:rsidRDefault="00994D30"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994D30" w:rsidRDefault="00994D30">
    <w:pPr>
      <w:pStyle w:val="Nagwek"/>
    </w:pPr>
  </w:p>
  <w:p w14:paraId="2AFE3B96" w14:textId="77777777" w:rsidR="00994D30" w:rsidRDefault="00994D3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994D30" w:rsidRDefault="00994D30"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994D30" w:rsidRPr="008043BD" w:rsidRDefault="00994D30" w:rsidP="00E04604">
    <w:pPr>
      <w:pStyle w:val="Nagwek"/>
      <w:jc w:val="center"/>
    </w:pPr>
    <w:r>
      <w:rPr>
        <w:noProof/>
      </w:rPr>
      <w:drawing>
        <wp:inline distT="0" distB="0" distL="0" distR="0" wp14:anchorId="3812BC0A" wp14:editId="1C21A372">
          <wp:extent cx="5759450" cy="594229"/>
          <wp:effectExtent l="0" t="0" r="0" b="0"/>
          <wp:docPr id="5" name="Obraz 5"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B3150F"/>
    <w:multiLevelType w:val="hybridMultilevel"/>
    <w:tmpl w:val="DB5E68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96F12"/>
    <w:multiLevelType w:val="hybridMultilevel"/>
    <w:tmpl w:val="99000874"/>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8" w15:restartNumberingAfterBreak="0">
    <w:nsid w:val="133802FD"/>
    <w:multiLevelType w:val="hybridMultilevel"/>
    <w:tmpl w:val="522859B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8618EA"/>
    <w:multiLevelType w:val="hybridMultilevel"/>
    <w:tmpl w:val="FF1EEAA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9F5DE6"/>
    <w:multiLevelType w:val="hybridMultilevel"/>
    <w:tmpl w:val="0F48B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2D78BB"/>
    <w:multiLevelType w:val="hybridMultilevel"/>
    <w:tmpl w:val="6606772E"/>
    <w:lvl w:ilvl="0" w:tplc="04150011">
      <w:start w:val="1"/>
      <w:numFmt w:val="decimal"/>
      <w:lvlText w:val="%1)"/>
      <w:lvlJc w:val="left"/>
      <w:pPr>
        <w:ind w:left="754" w:hanging="360"/>
      </w:pPr>
    </w:lvl>
    <w:lvl w:ilvl="1" w:tplc="5DA84CE8">
      <w:start w:val="1"/>
      <w:numFmt w:val="decimal"/>
      <w:lvlText w:val="%2)"/>
      <w:lvlJc w:val="left"/>
      <w:pPr>
        <w:ind w:left="1474" w:hanging="360"/>
      </w:pPr>
      <w:rPr>
        <w:rFonts w:asciiTheme="minorHAnsi" w:hAnsiTheme="minorHAnsi" w:hint="default"/>
        <w:b w:val="0"/>
        <w:i w:val="0"/>
        <w:caps w:val="0"/>
        <w:strike w:val="0"/>
        <w:dstrike w:val="0"/>
        <w:vanish w:val="0"/>
        <w:sz w:val="22"/>
        <w:szCs w:val="18"/>
        <w:vertAlign w:val="baseline"/>
      </w:rPr>
    </w:lvl>
    <w:lvl w:ilvl="2" w:tplc="C0481FD6">
      <w:start w:val="4"/>
      <w:numFmt w:val="decimal"/>
      <w:lvlText w:val="%3"/>
      <w:lvlJc w:val="left"/>
      <w:pPr>
        <w:ind w:left="2374" w:hanging="360"/>
      </w:pPr>
      <w:rPr>
        <w:rFonts w:hint="default"/>
      </w:r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8"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BF2BC5"/>
    <w:multiLevelType w:val="hybridMultilevel"/>
    <w:tmpl w:val="9EAEF588"/>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0"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BDB73F1"/>
    <w:multiLevelType w:val="hybridMultilevel"/>
    <w:tmpl w:val="6B946EFA"/>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3"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58E17ECE"/>
    <w:multiLevelType w:val="hybridMultilevel"/>
    <w:tmpl w:val="01C2E5A4"/>
    <w:lvl w:ilvl="0" w:tplc="530ECE7C">
      <w:start w:val="1"/>
      <w:numFmt w:val="bullet"/>
      <w:lvlText w:val="‒"/>
      <w:lvlJc w:val="left"/>
      <w:pPr>
        <w:ind w:left="756" w:hanging="360"/>
      </w:pPr>
      <w:rPr>
        <w:rFonts w:ascii="Calibri" w:hAnsi="Calibr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32"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D582449"/>
    <w:multiLevelType w:val="multilevel"/>
    <w:tmpl w:val="1CC0720A"/>
    <w:lvl w:ilvl="0">
      <w:start w:val="1"/>
      <w:numFmt w:val="decimal"/>
      <w:pStyle w:val="Nagwek2"/>
      <w:lvlText w:val="%1."/>
      <w:lvlJc w:val="left"/>
      <w:pPr>
        <w:ind w:left="720" w:hanging="360"/>
      </w:pPr>
    </w:lvl>
    <w:lvl w:ilvl="1">
      <w:start w:val="1"/>
      <w:numFmt w:val="decimal"/>
      <w:pStyle w:val="Nagwek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0239BB"/>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9E0903"/>
    <w:multiLevelType w:val="hybridMultilevel"/>
    <w:tmpl w:val="DE62181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5"/>
  </w:num>
  <w:num w:numId="2">
    <w:abstractNumId w:val="29"/>
  </w:num>
  <w:num w:numId="3">
    <w:abstractNumId w:val="40"/>
  </w:num>
  <w:num w:numId="4">
    <w:abstractNumId w:val="38"/>
  </w:num>
  <w:num w:numId="5">
    <w:abstractNumId w:val="18"/>
  </w:num>
  <w:num w:numId="6">
    <w:abstractNumId w:val="41"/>
  </w:num>
  <w:num w:numId="7">
    <w:abstractNumId w:val="0"/>
  </w:num>
  <w:num w:numId="8">
    <w:abstractNumId w:val="14"/>
  </w:num>
  <w:num w:numId="9">
    <w:abstractNumId w:val="12"/>
  </w:num>
  <w:num w:numId="10">
    <w:abstractNumId w:val="6"/>
  </w:num>
  <w:num w:numId="11">
    <w:abstractNumId w:val="44"/>
  </w:num>
  <w:num w:numId="12">
    <w:abstractNumId w:val="8"/>
  </w:num>
  <w:num w:numId="13">
    <w:abstractNumId w:val="39"/>
  </w:num>
  <w:num w:numId="14">
    <w:abstractNumId w:val="26"/>
  </w:num>
  <w:num w:numId="15">
    <w:abstractNumId w:val="28"/>
  </w:num>
  <w:num w:numId="16">
    <w:abstractNumId w:val="32"/>
  </w:num>
  <w:num w:numId="17">
    <w:abstractNumId w:val="20"/>
  </w:num>
  <w:num w:numId="18">
    <w:abstractNumId w:val="1"/>
  </w:num>
  <w:num w:numId="19">
    <w:abstractNumId w:val="43"/>
  </w:num>
  <w:num w:numId="20">
    <w:abstractNumId w:val="25"/>
  </w:num>
  <w:num w:numId="21">
    <w:abstractNumId w:val="4"/>
  </w:num>
  <w:num w:numId="22">
    <w:abstractNumId w:val="15"/>
  </w:num>
  <w:num w:numId="23">
    <w:abstractNumId w:val="10"/>
  </w:num>
  <w:num w:numId="24">
    <w:abstractNumId w:val="30"/>
  </w:num>
  <w:num w:numId="25">
    <w:abstractNumId w:val="37"/>
  </w:num>
  <w:num w:numId="26">
    <w:abstractNumId w:val="13"/>
  </w:num>
  <w:num w:numId="27">
    <w:abstractNumId w:val="36"/>
  </w:num>
  <w:num w:numId="28">
    <w:abstractNumId w:val="5"/>
  </w:num>
  <w:num w:numId="29">
    <w:abstractNumId w:val="19"/>
  </w:num>
  <w:num w:numId="30">
    <w:abstractNumId w:val="7"/>
  </w:num>
  <w:num w:numId="31">
    <w:abstractNumId w:val="16"/>
  </w:num>
  <w:num w:numId="32">
    <w:abstractNumId w:val="9"/>
  </w:num>
  <w:num w:numId="33">
    <w:abstractNumId w:val="22"/>
  </w:num>
  <w:num w:numId="34">
    <w:abstractNumId w:val="42"/>
  </w:num>
  <w:num w:numId="35">
    <w:abstractNumId w:val="23"/>
  </w:num>
  <w:num w:numId="36">
    <w:abstractNumId w:val="24"/>
  </w:num>
  <w:num w:numId="37">
    <w:abstractNumId w:val="21"/>
  </w:num>
  <w:num w:numId="38">
    <w:abstractNumId w:val="27"/>
  </w:num>
  <w:num w:numId="39">
    <w:abstractNumId w:val="17"/>
  </w:num>
  <w:num w:numId="40">
    <w:abstractNumId w:val="33"/>
  </w:num>
  <w:num w:numId="41">
    <w:abstractNumId w:val="3"/>
  </w:num>
  <w:num w:numId="42">
    <w:abstractNumId w:val="34"/>
  </w:num>
  <w:num w:numId="43">
    <w:abstractNumId w:val="45"/>
  </w:num>
  <w:num w:numId="44">
    <w:abstractNumId w:val="36"/>
  </w:num>
  <w:num w:numId="45">
    <w:abstractNumId w:val="31"/>
  </w:num>
  <w:num w:numId="46">
    <w:abstractNumId w:val="2"/>
  </w:num>
  <w:num w:numId="47">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A7765CBC-5F1D-4B5E-BAC2-05E8FCB10249}"/>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30019"/>
    <w:rsid w:val="00030D36"/>
    <w:rsid w:val="0003104D"/>
    <w:rsid w:val="0003434D"/>
    <w:rsid w:val="000343EC"/>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5188"/>
    <w:rsid w:val="00045B61"/>
    <w:rsid w:val="00045BDB"/>
    <w:rsid w:val="0004610F"/>
    <w:rsid w:val="00046EBF"/>
    <w:rsid w:val="0004781E"/>
    <w:rsid w:val="00047AA4"/>
    <w:rsid w:val="0005040E"/>
    <w:rsid w:val="00050645"/>
    <w:rsid w:val="00050E18"/>
    <w:rsid w:val="00051D66"/>
    <w:rsid w:val="00053046"/>
    <w:rsid w:val="00053C06"/>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6355"/>
    <w:rsid w:val="000766C1"/>
    <w:rsid w:val="00076F42"/>
    <w:rsid w:val="0007705C"/>
    <w:rsid w:val="0007728C"/>
    <w:rsid w:val="00077B22"/>
    <w:rsid w:val="00077B38"/>
    <w:rsid w:val="00077DCC"/>
    <w:rsid w:val="00077FEE"/>
    <w:rsid w:val="00081330"/>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CE1"/>
    <w:rsid w:val="000B30D5"/>
    <w:rsid w:val="000B350D"/>
    <w:rsid w:val="000B3695"/>
    <w:rsid w:val="000B464D"/>
    <w:rsid w:val="000B48E1"/>
    <w:rsid w:val="000B5123"/>
    <w:rsid w:val="000B6159"/>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37B5"/>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45B4"/>
    <w:rsid w:val="0016522F"/>
    <w:rsid w:val="00165D3B"/>
    <w:rsid w:val="00165F9B"/>
    <w:rsid w:val="0016635F"/>
    <w:rsid w:val="00166934"/>
    <w:rsid w:val="001672DA"/>
    <w:rsid w:val="00167356"/>
    <w:rsid w:val="00167979"/>
    <w:rsid w:val="00167BD5"/>
    <w:rsid w:val="00170670"/>
    <w:rsid w:val="00170A3C"/>
    <w:rsid w:val="00170B72"/>
    <w:rsid w:val="00170CD9"/>
    <w:rsid w:val="001719C1"/>
    <w:rsid w:val="00172FF2"/>
    <w:rsid w:val="001731B6"/>
    <w:rsid w:val="00173383"/>
    <w:rsid w:val="00175297"/>
    <w:rsid w:val="00175E1B"/>
    <w:rsid w:val="00176048"/>
    <w:rsid w:val="001762E8"/>
    <w:rsid w:val="00176395"/>
    <w:rsid w:val="001765FD"/>
    <w:rsid w:val="00176EDE"/>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4861"/>
    <w:rsid w:val="0019501D"/>
    <w:rsid w:val="00195D28"/>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254A"/>
    <w:rsid w:val="001C3C4E"/>
    <w:rsid w:val="001C43E4"/>
    <w:rsid w:val="001C4E87"/>
    <w:rsid w:val="001C5CD1"/>
    <w:rsid w:val="001C5EED"/>
    <w:rsid w:val="001C6505"/>
    <w:rsid w:val="001C76E1"/>
    <w:rsid w:val="001C7931"/>
    <w:rsid w:val="001D13AC"/>
    <w:rsid w:val="001D1544"/>
    <w:rsid w:val="001D34CC"/>
    <w:rsid w:val="001D4345"/>
    <w:rsid w:val="001D4601"/>
    <w:rsid w:val="001D4CAF"/>
    <w:rsid w:val="001D5485"/>
    <w:rsid w:val="001D736E"/>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C4E"/>
    <w:rsid w:val="001E69B8"/>
    <w:rsid w:val="001E6CC0"/>
    <w:rsid w:val="001E764D"/>
    <w:rsid w:val="001E7A94"/>
    <w:rsid w:val="001F02E8"/>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10D9B"/>
    <w:rsid w:val="00214FD9"/>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FF3"/>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F79"/>
    <w:rsid w:val="002F506E"/>
    <w:rsid w:val="002F6F27"/>
    <w:rsid w:val="0030254C"/>
    <w:rsid w:val="00302F66"/>
    <w:rsid w:val="0030314E"/>
    <w:rsid w:val="003038DF"/>
    <w:rsid w:val="00303BB1"/>
    <w:rsid w:val="00303F09"/>
    <w:rsid w:val="003048BC"/>
    <w:rsid w:val="00304DDD"/>
    <w:rsid w:val="00305254"/>
    <w:rsid w:val="00305BD0"/>
    <w:rsid w:val="00306997"/>
    <w:rsid w:val="00306D1A"/>
    <w:rsid w:val="00306D41"/>
    <w:rsid w:val="00306DDC"/>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720B"/>
    <w:rsid w:val="00317654"/>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53B0"/>
    <w:rsid w:val="0038553D"/>
    <w:rsid w:val="003857D1"/>
    <w:rsid w:val="00390006"/>
    <w:rsid w:val="0039003D"/>
    <w:rsid w:val="003905C1"/>
    <w:rsid w:val="00390F01"/>
    <w:rsid w:val="00391755"/>
    <w:rsid w:val="00391EA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605C"/>
    <w:rsid w:val="004004B4"/>
    <w:rsid w:val="00400AA6"/>
    <w:rsid w:val="00400AB8"/>
    <w:rsid w:val="00400C2A"/>
    <w:rsid w:val="004012A8"/>
    <w:rsid w:val="004012BD"/>
    <w:rsid w:val="00402DEF"/>
    <w:rsid w:val="0040300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DA2"/>
    <w:rsid w:val="00423EBB"/>
    <w:rsid w:val="00424A63"/>
    <w:rsid w:val="00425D5C"/>
    <w:rsid w:val="00425FE8"/>
    <w:rsid w:val="0042603F"/>
    <w:rsid w:val="00426999"/>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AD0"/>
    <w:rsid w:val="00485368"/>
    <w:rsid w:val="0048552C"/>
    <w:rsid w:val="00486322"/>
    <w:rsid w:val="00486487"/>
    <w:rsid w:val="00486C0F"/>
    <w:rsid w:val="00487429"/>
    <w:rsid w:val="0048779C"/>
    <w:rsid w:val="00490188"/>
    <w:rsid w:val="00490AD7"/>
    <w:rsid w:val="00491E8C"/>
    <w:rsid w:val="00492255"/>
    <w:rsid w:val="00493146"/>
    <w:rsid w:val="004933C3"/>
    <w:rsid w:val="00494C89"/>
    <w:rsid w:val="00494DF4"/>
    <w:rsid w:val="004952A4"/>
    <w:rsid w:val="00496044"/>
    <w:rsid w:val="004969E1"/>
    <w:rsid w:val="00496B83"/>
    <w:rsid w:val="00497CE4"/>
    <w:rsid w:val="004A00CD"/>
    <w:rsid w:val="004A17BB"/>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921"/>
    <w:rsid w:val="004E00F6"/>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D92"/>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5496"/>
    <w:rsid w:val="00535B9B"/>
    <w:rsid w:val="00537C62"/>
    <w:rsid w:val="00537CBC"/>
    <w:rsid w:val="00541039"/>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5A04"/>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C00"/>
    <w:rsid w:val="00613CC2"/>
    <w:rsid w:val="00613EC3"/>
    <w:rsid w:val="006140C9"/>
    <w:rsid w:val="00614670"/>
    <w:rsid w:val="00614B71"/>
    <w:rsid w:val="00620069"/>
    <w:rsid w:val="006204EF"/>
    <w:rsid w:val="006205EE"/>
    <w:rsid w:val="00620812"/>
    <w:rsid w:val="00621937"/>
    <w:rsid w:val="00621A63"/>
    <w:rsid w:val="006220AD"/>
    <w:rsid w:val="00622238"/>
    <w:rsid w:val="00622C9D"/>
    <w:rsid w:val="00622E9C"/>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D7C"/>
    <w:rsid w:val="0066382E"/>
    <w:rsid w:val="00664B3A"/>
    <w:rsid w:val="00664E3E"/>
    <w:rsid w:val="006651A1"/>
    <w:rsid w:val="00665350"/>
    <w:rsid w:val="00665A60"/>
    <w:rsid w:val="006661E9"/>
    <w:rsid w:val="006671C9"/>
    <w:rsid w:val="006674E4"/>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802B2"/>
    <w:rsid w:val="0068112B"/>
    <w:rsid w:val="00681325"/>
    <w:rsid w:val="0068190F"/>
    <w:rsid w:val="006821C2"/>
    <w:rsid w:val="00682725"/>
    <w:rsid w:val="00683208"/>
    <w:rsid w:val="00683BC1"/>
    <w:rsid w:val="00683E90"/>
    <w:rsid w:val="00684088"/>
    <w:rsid w:val="0068539B"/>
    <w:rsid w:val="006854F1"/>
    <w:rsid w:val="00686F09"/>
    <w:rsid w:val="00687476"/>
    <w:rsid w:val="00687E91"/>
    <w:rsid w:val="00690333"/>
    <w:rsid w:val="00690705"/>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3BF"/>
    <w:rsid w:val="00696414"/>
    <w:rsid w:val="00696452"/>
    <w:rsid w:val="00696998"/>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737"/>
    <w:rsid w:val="006B3B20"/>
    <w:rsid w:val="006B486D"/>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4090"/>
    <w:rsid w:val="006D4311"/>
    <w:rsid w:val="006D462F"/>
    <w:rsid w:val="006D48FB"/>
    <w:rsid w:val="006D4DFF"/>
    <w:rsid w:val="006D6E4B"/>
    <w:rsid w:val="006D7DE5"/>
    <w:rsid w:val="006D7E3B"/>
    <w:rsid w:val="006E013C"/>
    <w:rsid w:val="006E02E3"/>
    <w:rsid w:val="006E062B"/>
    <w:rsid w:val="006E0BB1"/>
    <w:rsid w:val="006E0F41"/>
    <w:rsid w:val="006E1246"/>
    <w:rsid w:val="006E27B7"/>
    <w:rsid w:val="006E2912"/>
    <w:rsid w:val="006E2F14"/>
    <w:rsid w:val="006E3989"/>
    <w:rsid w:val="006E3A32"/>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851"/>
    <w:rsid w:val="00701FC4"/>
    <w:rsid w:val="00702D00"/>
    <w:rsid w:val="00703313"/>
    <w:rsid w:val="00703537"/>
    <w:rsid w:val="007045E5"/>
    <w:rsid w:val="00704EAE"/>
    <w:rsid w:val="0070555D"/>
    <w:rsid w:val="0070578C"/>
    <w:rsid w:val="00705EA2"/>
    <w:rsid w:val="00705EE3"/>
    <w:rsid w:val="00707403"/>
    <w:rsid w:val="00707506"/>
    <w:rsid w:val="00707BDA"/>
    <w:rsid w:val="00710143"/>
    <w:rsid w:val="00711D7A"/>
    <w:rsid w:val="00712378"/>
    <w:rsid w:val="00712C6A"/>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99A"/>
    <w:rsid w:val="00726F6A"/>
    <w:rsid w:val="00727A57"/>
    <w:rsid w:val="00731BB2"/>
    <w:rsid w:val="007327B6"/>
    <w:rsid w:val="0073290F"/>
    <w:rsid w:val="00734451"/>
    <w:rsid w:val="007346A5"/>
    <w:rsid w:val="00735FCB"/>
    <w:rsid w:val="0073600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60145"/>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86D"/>
    <w:rsid w:val="00794A9F"/>
    <w:rsid w:val="00794BE3"/>
    <w:rsid w:val="00795907"/>
    <w:rsid w:val="00795987"/>
    <w:rsid w:val="00795B2E"/>
    <w:rsid w:val="00795FD9"/>
    <w:rsid w:val="0079600B"/>
    <w:rsid w:val="007968CB"/>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6F4"/>
    <w:rsid w:val="007D6788"/>
    <w:rsid w:val="007D7AA0"/>
    <w:rsid w:val="007D7AC2"/>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D0C"/>
    <w:rsid w:val="00866717"/>
    <w:rsid w:val="008677C1"/>
    <w:rsid w:val="008708FD"/>
    <w:rsid w:val="00870E4C"/>
    <w:rsid w:val="00871AD4"/>
    <w:rsid w:val="00871DDF"/>
    <w:rsid w:val="008741AB"/>
    <w:rsid w:val="0087452C"/>
    <w:rsid w:val="008745F8"/>
    <w:rsid w:val="00874679"/>
    <w:rsid w:val="00876B23"/>
    <w:rsid w:val="00876D59"/>
    <w:rsid w:val="00877751"/>
    <w:rsid w:val="0087781B"/>
    <w:rsid w:val="00880504"/>
    <w:rsid w:val="00880B94"/>
    <w:rsid w:val="00881172"/>
    <w:rsid w:val="00881BD2"/>
    <w:rsid w:val="0088283C"/>
    <w:rsid w:val="00882B37"/>
    <w:rsid w:val="008832CE"/>
    <w:rsid w:val="00883473"/>
    <w:rsid w:val="00884137"/>
    <w:rsid w:val="0088495E"/>
    <w:rsid w:val="00884ABC"/>
    <w:rsid w:val="00884C6D"/>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4891"/>
    <w:rsid w:val="00955B58"/>
    <w:rsid w:val="00955ED5"/>
    <w:rsid w:val="00956317"/>
    <w:rsid w:val="009565FF"/>
    <w:rsid w:val="009576C9"/>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70AA"/>
    <w:rsid w:val="0099731E"/>
    <w:rsid w:val="00997361"/>
    <w:rsid w:val="009A0431"/>
    <w:rsid w:val="009A0955"/>
    <w:rsid w:val="009A0D85"/>
    <w:rsid w:val="009A133A"/>
    <w:rsid w:val="009A1747"/>
    <w:rsid w:val="009A2454"/>
    <w:rsid w:val="009A2B24"/>
    <w:rsid w:val="009A324D"/>
    <w:rsid w:val="009A354A"/>
    <w:rsid w:val="009A3598"/>
    <w:rsid w:val="009A368D"/>
    <w:rsid w:val="009A45D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630"/>
    <w:rsid w:val="00A303BB"/>
    <w:rsid w:val="00A30527"/>
    <w:rsid w:val="00A307F9"/>
    <w:rsid w:val="00A31395"/>
    <w:rsid w:val="00A3149B"/>
    <w:rsid w:val="00A316F7"/>
    <w:rsid w:val="00A319C3"/>
    <w:rsid w:val="00A31B8B"/>
    <w:rsid w:val="00A31F65"/>
    <w:rsid w:val="00A322C8"/>
    <w:rsid w:val="00A32562"/>
    <w:rsid w:val="00A32B1E"/>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223D"/>
    <w:rsid w:val="00A52EAA"/>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63BE"/>
    <w:rsid w:val="00A7678F"/>
    <w:rsid w:val="00A76A0A"/>
    <w:rsid w:val="00A7739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48F4"/>
    <w:rsid w:val="00AB4D0E"/>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9E6"/>
    <w:rsid w:val="00AE0F06"/>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44E2"/>
    <w:rsid w:val="00B550B0"/>
    <w:rsid w:val="00B55533"/>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6B3F"/>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48B"/>
    <w:rsid w:val="00BD2678"/>
    <w:rsid w:val="00BD2A93"/>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F85"/>
    <w:rsid w:val="00C126F1"/>
    <w:rsid w:val="00C12A7C"/>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586D"/>
    <w:rsid w:val="00C55C9A"/>
    <w:rsid w:val="00C56CDB"/>
    <w:rsid w:val="00C57130"/>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69A"/>
    <w:rsid w:val="00CA2476"/>
    <w:rsid w:val="00CA24EA"/>
    <w:rsid w:val="00CA2755"/>
    <w:rsid w:val="00CA27D1"/>
    <w:rsid w:val="00CA3378"/>
    <w:rsid w:val="00CA351B"/>
    <w:rsid w:val="00CA3ABE"/>
    <w:rsid w:val="00CA3C0E"/>
    <w:rsid w:val="00CA4454"/>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8C9"/>
    <w:rsid w:val="00CD1408"/>
    <w:rsid w:val="00CD144A"/>
    <w:rsid w:val="00CD26A5"/>
    <w:rsid w:val="00CD2824"/>
    <w:rsid w:val="00CD2C57"/>
    <w:rsid w:val="00CD30C2"/>
    <w:rsid w:val="00CD31E3"/>
    <w:rsid w:val="00CD399A"/>
    <w:rsid w:val="00CD3AE2"/>
    <w:rsid w:val="00CD5861"/>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736A"/>
    <w:rsid w:val="00D37636"/>
    <w:rsid w:val="00D40C59"/>
    <w:rsid w:val="00D40E32"/>
    <w:rsid w:val="00D40F70"/>
    <w:rsid w:val="00D4150C"/>
    <w:rsid w:val="00D42B21"/>
    <w:rsid w:val="00D42F8F"/>
    <w:rsid w:val="00D431CE"/>
    <w:rsid w:val="00D44D7A"/>
    <w:rsid w:val="00D44DAA"/>
    <w:rsid w:val="00D44FE8"/>
    <w:rsid w:val="00D456C9"/>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AB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B82"/>
    <w:rsid w:val="00DB1E8B"/>
    <w:rsid w:val="00DB20DE"/>
    <w:rsid w:val="00DB2410"/>
    <w:rsid w:val="00DB2CAB"/>
    <w:rsid w:val="00DB3330"/>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44AC"/>
    <w:rsid w:val="00DD4A60"/>
    <w:rsid w:val="00DD593D"/>
    <w:rsid w:val="00DD5B26"/>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34D7"/>
    <w:rsid w:val="00E038DD"/>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9C"/>
    <w:rsid w:val="00E20623"/>
    <w:rsid w:val="00E20A61"/>
    <w:rsid w:val="00E20B12"/>
    <w:rsid w:val="00E2124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A26"/>
    <w:rsid w:val="00EB3901"/>
    <w:rsid w:val="00EB4120"/>
    <w:rsid w:val="00EB41F0"/>
    <w:rsid w:val="00EB4C1F"/>
    <w:rsid w:val="00EB5C7B"/>
    <w:rsid w:val="00EB5D33"/>
    <w:rsid w:val="00EB6DD8"/>
    <w:rsid w:val="00EB7AFC"/>
    <w:rsid w:val="00EB7EFD"/>
    <w:rsid w:val="00EC078F"/>
    <w:rsid w:val="00EC07EC"/>
    <w:rsid w:val="00EC15E4"/>
    <w:rsid w:val="00EC1EAE"/>
    <w:rsid w:val="00EC4197"/>
    <w:rsid w:val="00EC493A"/>
    <w:rsid w:val="00EC4CBF"/>
    <w:rsid w:val="00EC5831"/>
    <w:rsid w:val="00EC5E7A"/>
    <w:rsid w:val="00EC616B"/>
    <w:rsid w:val="00EC6C8E"/>
    <w:rsid w:val="00EC7A87"/>
    <w:rsid w:val="00EC7C88"/>
    <w:rsid w:val="00ED108E"/>
    <w:rsid w:val="00ED14BB"/>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8DD"/>
    <w:rsid w:val="00F5690C"/>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CCF"/>
    <w:rsid w:val="00F8175C"/>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508"/>
    <w:rsid w:val="00F95565"/>
    <w:rsid w:val="00F96556"/>
    <w:rsid w:val="00F96B12"/>
    <w:rsid w:val="00F97687"/>
    <w:rsid w:val="00F976D2"/>
    <w:rsid w:val="00F97821"/>
    <w:rsid w:val="00FA00E1"/>
    <w:rsid w:val="00FA0A52"/>
    <w:rsid w:val="00FA193A"/>
    <w:rsid w:val="00FA244B"/>
    <w:rsid w:val="00FA4BDA"/>
    <w:rsid w:val="00FA5252"/>
    <w:rsid w:val="00FA5D4D"/>
    <w:rsid w:val="00FA612C"/>
    <w:rsid w:val="00FA6768"/>
    <w:rsid w:val="00FA72F0"/>
    <w:rsid w:val="00FA778D"/>
    <w:rsid w:val="00FA77E3"/>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F86"/>
    <w:rsid w:val="00FC4001"/>
    <w:rsid w:val="00FC423F"/>
    <w:rsid w:val="00FC458E"/>
    <w:rsid w:val="00FC4880"/>
    <w:rsid w:val="00FC5340"/>
    <w:rsid w:val="00FC5BF5"/>
    <w:rsid w:val="00FC71AE"/>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F0"/>
    <w:rsid w:val="00FE6E70"/>
    <w:rsid w:val="00FE7080"/>
    <w:rsid w:val="00FE7665"/>
    <w:rsid w:val="00FE7762"/>
    <w:rsid w:val="00FE7C4C"/>
    <w:rsid w:val="00FF011A"/>
    <w:rsid w:val="00FF138B"/>
    <w:rsid w:val="00FF13B2"/>
    <w:rsid w:val="00FF165E"/>
    <w:rsid w:val="00FF16DB"/>
    <w:rsid w:val="00FF1A11"/>
    <w:rsid w:val="00FF232F"/>
    <w:rsid w:val="00FF2494"/>
    <w:rsid w:val="00FF29E6"/>
    <w:rsid w:val="00FF2A00"/>
    <w:rsid w:val="00FF4269"/>
    <w:rsid w:val="00FF48B9"/>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CC642D"/>
    <w:pPr>
      <w:shd w:val="clear" w:color="auto" w:fill="8DB3E2" w:themeFill="text2" w:themeFillTint="66"/>
      <w:spacing w:before="300" w:after="0"/>
      <w:contextualSpacing w:val="0"/>
      <w:outlineLvl w:val="2"/>
    </w:pPr>
    <w:rPr>
      <w:b/>
      <w:spacing w:val="15"/>
      <w:sz w:val="24"/>
    </w:rPr>
  </w:style>
  <w:style w:type="paragraph" w:styleId="Nagwek4">
    <w:name w:val="heading 4"/>
    <w:basedOn w:val="Akapitzlist"/>
    <w:next w:val="Normalny"/>
    <w:link w:val="Nagwek4Znak"/>
    <w:uiPriority w:val="9"/>
    <w:unhideWhenUsed/>
    <w:qFormat/>
    <w:rsid w:val="005E175A"/>
    <w:pPr>
      <w:numPr>
        <w:ilvl w:val="1"/>
        <w:numId w:val="27"/>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CC642D"/>
    <w:rPr>
      <w:rFonts w:cs="Arial"/>
      <w:b/>
      <w:spacing w:val="15"/>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
    <w:link w:val="Akapitzlist"/>
    <w:uiPriority w:val="34"/>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kwalifikacj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ca.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kwalifikacj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65CBC-5F1D-4B5E-BAC2-05E8FCB10249}">
  <ds:schemaRefs>
    <ds:schemaRef ds:uri="http://www.w3.org/2001/XMLSchema"/>
  </ds:schemaRefs>
</ds:datastoreItem>
</file>

<file path=customXml/itemProps2.xml><?xml version="1.0" encoding="utf-8"?>
<ds:datastoreItem xmlns:ds="http://schemas.openxmlformats.org/officeDocument/2006/customXml" ds:itemID="{4580A367-D8F5-463F-8BB6-6F1F1937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12591</Words>
  <Characters>75546</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Zasady pomiaru wskaźników dla Działania 5.11. na rok 2023</vt:lpstr>
    </vt:vector>
  </TitlesOfParts>
  <Company>UMWP</Company>
  <LinksUpToDate>false</LinksUpToDate>
  <CharactersWithSpaces>87962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5.11. na rok 2023</dc:title>
  <dc:subject>Zasady pomiaru wskaźników</dc:subject>
  <dc:creator>Agata Michałowska</dc:creator>
  <cp:keywords>Wskaźniki;Działanie 5.11.</cp:keywords>
  <dc:description/>
  <cp:lastModifiedBy>Michałowska Agata</cp:lastModifiedBy>
  <cp:revision>3</cp:revision>
  <cp:lastPrinted>2023-08-03T06:17:00Z</cp:lastPrinted>
  <dcterms:created xsi:type="dcterms:W3CDTF">2023-08-04T06:44:00Z</dcterms:created>
  <dcterms:modified xsi:type="dcterms:W3CDTF">2023-08-04T06:48:00Z</dcterms:modified>
</cp:coreProperties>
</file>