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3EFE5997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 xml:space="preserve">uchwałą nr </w:t>
      </w:r>
      <w:bookmarkEnd w:id="0"/>
      <w:r w:rsidR="00CD3F15" w:rsidRPr="00CD3F15">
        <w:rPr>
          <w:rFonts w:ascii="Calibri" w:hAnsi="Calibri" w:cs="Calibri"/>
          <w:sz w:val="22"/>
          <w:szCs w:val="22"/>
        </w:rPr>
        <w:t>1267/492/23 Zarządu Województwa Pomorskiego z dnia 26 października 2023 r.</w:t>
      </w:r>
      <w:bookmarkStart w:id="1" w:name="_GoBack"/>
      <w:bookmarkEnd w:id="1"/>
    </w:p>
    <w:p w14:paraId="6AFF1A4E" w14:textId="5BC6751B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 xml:space="preserve">w ramach naboru dla Działania </w:t>
      </w:r>
      <w:r w:rsidR="00676ED8">
        <w:rPr>
          <w:rFonts w:cs="Calibri"/>
          <w:szCs w:val="36"/>
        </w:rPr>
        <w:t>2</w:t>
      </w:r>
      <w:r w:rsidR="00D5542C" w:rsidRPr="00D5542C">
        <w:rPr>
          <w:rFonts w:cs="Calibri"/>
          <w:szCs w:val="36"/>
        </w:rPr>
        <w:t>.1</w:t>
      </w:r>
      <w:r w:rsidR="00676ED8">
        <w:rPr>
          <w:rFonts w:cs="Calibri"/>
          <w:szCs w:val="36"/>
        </w:rPr>
        <w:t>3</w:t>
      </w:r>
      <w:r w:rsidR="00D5542C" w:rsidRPr="00D5542C">
        <w:rPr>
          <w:rFonts w:cs="Calibri"/>
          <w:szCs w:val="36"/>
        </w:rPr>
        <w:t xml:space="preserve">. </w:t>
      </w:r>
      <w:r w:rsidR="00AA11F9" w:rsidRPr="00AA11F9">
        <w:rPr>
          <w:rFonts w:cs="Calibri"/>
          <w:szCs w:val="36"/>
        </w:rPr>
        <w:t xml:space="preserve">Gospodarka o obiegu zamkniętym </w:t>
      </w:r>
      <w:r w:rsidR="00D5542C" w:rsidRPr="00D5542C">
        <w:rPr>
          <w:rFonts w:cs="Calibri"/>
          <w:szCs w:val="36"/>
        </w:rPr>
        <w:t>FEP 2021-2027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57A11354" w14:textId="6DBFCDB3" w:rsidR="004011B8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44205278" w:history="1">
        <w:r w:rsidR="004011B8" w:rsidRPr="0009710C">
          <w:rPr>
            <w:rStyle w:val="Hipercze"/>
            <w:rFonts w:cs="Calibri"/>
            <w:noProof/>
          </w:rPr>
          <w:t>Wykaz stosowanych nazw i skrótów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_Toc144205278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3</w:t>
        </w:r>
        <w:r w:rsidR="004011B8">
          <w:rPr>
            <w:noProof/>
            <w:webHidden/>
          </w:rPr>
          <w:fldChar w:fldCharType="end"/>
        </w:r>
      </w:hyperlink>
    </w:p>
    <w:p w14:paraId="596F540E" w14:textId="49A86B31" w:rsidR="004011B8" w:rsidRDefault="00CD3F15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79" w:history="1">
        <w:r w:rsidR="004011B8" w:rsidRPr="0009710C">
          <w:rPr>
            <w:rStyle w:val="Hipercze"/>
            <w:rFonts w:cs="Calibri"/>
            <w:noProof/>
          </w:rPr>
          <w:t>Wstęp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_Toc144205279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4</w:t>
        </w:r>
        <w:r w:rsidR="004011B8">
          <w:rPr>
            <w:noProof/>
            <w:webHidden/>
          </w:rPr>
          <w:fldChar w:fldCharType="end"/>
        </w:r>
      </w:hyperlink>
    </w:p>
    <w:p w14:paraId="1EF8956C" w14:textId="621855BE" w:rsidR="004011B8" w:rsidRDefault="00CD3F15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80" w:history="1">
        <w:r w:rsidR="004011B8" w:rsidRPr="0009710C">
          <w:rPr>
            <w:rStyle w:val="Hipercze"/>
            <w:noProof/>
          </w:rPr>
          <w:t>Zalecana struktura Studium Wykonalności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_Toc144205280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6</w:t>
        </w:r>
        <w:r w:rsidR="004011B8">
          <w:rPr>
            <w:noProof/>
            <w:webHidden/>
          </w:rPr>
          <w:fldChar w:fldCharType="end"/>
        </w:r>
      </w:hyperlink>
    </w:p>
    <w:p w14:paraId="41891F22" w14:textId="48D515E7" w:rsidR="004011B8" w:rsidRDefault="00CD3F15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81" w:history="1">
        <w:r w:rsidR="004011B8" w:rsidRPr="0009710C">
          <w:rPr>
            <w:rStyle w:val="Hipercze"/>
            <w:noProof/>
          </w:rPr>
          <w:t>Opis elementów Studium Wykonalności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_Toc144205281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447C3F75" w14:textId="2698CFA6" w:rsidR="004011B8" w:rsidRDefault="00CD3F15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82" w:history="1">
        <w:r w:rsidR="004011B8" w:rsidRPr="0009710C">
          <w:rPr>
            <w:rStyle w:val="Hipercze"/>
            <w:noProof/>
          </w:rPr>
          <w:t>1. Uzasadnienie i opis zakresu rzeczowego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_Toc144205282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6D9B38C1" w14:textId="0369ED21" w:rsidR="004011B8" w:rsidRDefault="00CD3F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3" w:history="1">
        <w:r w:rsidR="004011B8" w:rsidRPr="0009710C">
          <w:rPr>
            <w:rStyle w:val="Hipercze"/>
            <w:noProof/>
          </w:rPr>
          <w:t>1.1. Opis potrzeby realizacji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_Toc144205283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76DD285D" w14:textId="527D105C" w:rsidR="004011B8" w:rsidRDefault="00CD3F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4" w:history="1">
        <w:r w:rsidR="004011B8" w:rsidRPr="0009710C">
          <w:rPr>
            <w:rStyle w:val="Hipercze"/>
            <w:noProof/>
          </w:rPr>
          <w:t>1.2. Analiza różnych wariantów realizacji projektu i jego identyfikacja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_Toc144205284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1D62797D" w14:textId="6CEA2FAB" w:rsidR="004011B8" w:rsidRDefault="00CD3F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5" w:history="1">
        <w:r w:rsidR="004011B8" w:rsidRPr="0009710C">
          <w:rPr>
            <w:rStyle w:val="Hipercze"/>
            <w:noProof/>
          </w:rPr>
          <w:t>1.3. Szczegółowy opis zakresu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_Toc144205285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8</w:t>
        </w:r>
        <w:r w:rsidR="004011B8">
          <w:rPr>
            <w:noProof/>
            <w:webHidden/>
          </w:rPr>
          <w:fldChar w:fldCharType="end"/>
        </w:r>
      </w:hyperlink>
    </w:p>
    <w:p w14:paraId="65DB7412" w14:textId="741861C3" w:rsidR="004011B8" w:rsidRDefault="00CD3F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6" w:history="1">
        <w:r w:rsidR="004011B8" w:rsidRPr="0009710C">
          <w:rPr>
            <w:rStyle w:val="Hipercze"/>
            <w:noProof/>
          </w:rPr>
          <w:t>1.4. Zgodność projektu z logiką interwencji Programu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_Toc144205286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9</w:t>
        </w:r>
        <w:r w:rsidR="004011B8">
          <w:rPr>
            <w:noProof/>
            <w:webHidden/>
          </w:rPr>
          <w:fldChar w:fldCharType="end"/>
        </w:r>
      </w:hyperlink>
    </w:p>
    <w:p w14:paraId="2F00B134" w14:textId="24EC2635" w:rsidR="004011B8" w:rsidRDefault="00CD3F15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87" w:history="1">
        <w:r w:rsidR="004011B8" w:rsidRPr="0009710C">
          <w:rPr>
            <w:rStyle w:val="Hipercze"/>
            <w:noProof/>
          </w:rPr>
          <w:t>2. Uwarunkowania realizacji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_Toc144205287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11</w:t>
        </w:r>
        <w:r w:rsidR="004011B8">
          <w:rPr>
            <w:noProof/>
            <w:webHidden/>
          </w:rPr>
          <w:fldChar w:fldCharType="end"/>
        </w:r>
      </w:hyperlink>
    </w:p>
    <w:p w14:paraId="489AE97D" w14:textId="2A22E62D" w:rsidR="004011B8" w:rsidRDefault="00CD3F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8" w:history="1">
        <w:r w:rsidR="004011B8" w:rsidRPr="0009710C">
          <w:rPr>
            <w:rStyle w:val="Hipercze"/>
            <w:noProof/>
          </w:rPr>
          <w:t>2.1. Opis wnioskodawcy i realizatorów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_Toc144205288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11</w:t>
        </w:r>
        <w:r w:rsidR="004011B8">
          <w:rPr>
            <w:noProof/>
            <w:webHidden/>
          </w:rPr>
          <w:fldChar w:fldCharType="end"/>
        </w:r>
      </w:hyperlink>
    </w:p>
    <w:p w14:paraId="79FC32D4" w14:textId="04C556DB" w:rsidR="004011B8" w:rsidRDefault="00CD3F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9" w:history="1">
        <w:r w:rsidR="004011B8" w:rsidRPr="0009710C">
          <w:rPr>
            <w:rStyle w:val="Hipercze"/>
            <w:noProof/>
          </w:rPr>
          <w:t>2.2. Opis sposobu realizacji i zarządzania projektem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_Toc144205289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11</w:t>
        </w:r>
        <w:r w:rsidR="004011B8">
          <w:rPr>
            <w:noProof/>
            <w:webHidden/>
          </w:rPr>
          <w:fldChar w:fldCharType="end"/>
        </w:r>
      </w:hyperlink>
    </w:p>
    <w:p w14:paraId="5B36E7B9" w14:textId="45A69E62" w:rsidR="004011B8" w:rsidRDefault="00CD3F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0" w:history="1">
        <w:r w:rsidR="004011B8" w:rsidRPr="0009710C">
          <w:rPr>
            <w:rStyle w:val="Hipercze"/>
            <w:noProof/>
          </w:rPr>
          <w:t>2.3. Zgodność projektu z zasadami horyzontalnymi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_Toc144205290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12</w:t>
        </w:r>
        <w:r w:rsidR="004011B8">
          <w:rPr>
            <w:noProof/>
            <w:webHidden/>
          </w:rPr>
          <w:fldChar w:fldCharType="end"/>
        </w:r>
      </w:hyperlink>
    </w:p>
    <w:p w14:paraId="64649605" w14:textId="35FE88BC" w:rsidR="004011B8" w:rsidRDefault="00CD3F15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1" w:history="1">
        <w:r w:rsidR="004011B8" w:rsidRPr="0009710C">
          <w:rPr>
            <w:rStyle w:val="Hipercze"/>
            <w:noProof/>
          </w:rPr>
          <w:t>3. Analiza finansowa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_Toc144205291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01DC3AA7" w14:textId="43765404" w:rsidR="004011B8" w:rsidRDefault="00CD3F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2" w:history="1">
        <w:r w:rsidR="004011B8" w:rsidRPr="0009710C">
          <w:rPr>
            <w:rStyle w:val="Hipercze"/>
            <w:noProof/>
          </w:rPr>
          <w:t>3.1. Określenie założeń do analizy finansowej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_Toc144205292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78C2BD4E" w14:textId="56CECB43" w:rsidR="004011B8" w:rsidRDefault="00CD3F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3" w:history="1">
        <w:r w:rsidR="004011B8" w:rsidRPr="0009710C">
          <w:rPr>
            <w:rStyle w:val="Hipercze"/>
            <w:noProof/>
          </w:rPr>
          <w:t>3.2. Analiza finansowa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_Toc144205293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61E552B8" w14:textId="24E27A59" w:rsidR="004011B8" w:rsidRDefault="00CD3F15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4" w:history="1">
        <w:r w:rsidR="004011B8" w:rsidRPr="0009710C">
          <w:rPr>
            <w:rStyle w:val="Hipercze"/>
            <w:noProof/>
          </w:rPr>
          <w:t>4. Analiza kosztów i korzyści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_Toc144205294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35A357A7" w14:textId="2EBE0217" w:rsidR="004011B8" w:rsidRDefault="00CD3F15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5" w:history="1">
        <w:r w:rsidR="004011B8" w:rsidRPr="0009710C">
          <w:rPr>
            <w:rStyle w:val="Hipercze"/>
            <w:noProof/>
          </w:rPr>
          <w:t>5. Analiza ryzyka i wrażliwości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_Toc144205295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5217A7">
          <w:rPr>
            <w:noProof/>
            <w:webHidden/>
          </w:rPr>
          <w:t>14</w:t>
        </w:r>
        <w:r w:rsidR="004011B8">
          <w:rPr>
            <w:noProof/>
            <w:webHidden/>
          </w:rPr>
          <w:fldChar w:fldCharType="end"/>
        </w:r>
      </w:hyperlink>
    </w:p>
    <w:p w14:paraId="56667057" w14:textId="77777777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2F0AF2B" w14:textId="77777777" w:rsidR="00BB5FD4" w:rsidRPr="00A82A84" w:rsidRDefault="00603EE9" w:rsidP="00E37701">
      <w:pPr>
        <w:pStyle w:val="Nagwek2"/>
        <w:rPr>
          <w:rFonts w:cs="Calibri"/>
        </w:rPr>
      </w:pPr>
      <w:bookmarkStart w:id="3" w:name="_Toc140497407"/>
      <w:r w:rsidRPr="00A82A84">
        <w:rPr>
          <w:rFonts w:cs="Calibri"/>
          <w:sz w:val="22"/>
          <w:szCs w:val="22"/>
        </w:rPr>
        <w:br w:type="page"/>
      </w:r>
      <w:bookmarkStart w:id="4" w:name="_Toc144205278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3"/>
      <w:bookmarkEnd w:id="4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5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5"/>
    </w:p>
    <w:p w14:paraId="3DDE044C" w14:textId="4B413EA2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6B5317D9" w14:textId="4071064B" w:rsidR="009F1646" w:rsidRPr="00A82A84" w:rsidRDefault="009F164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062573" w:rsidRPr="00062573">
        <w:rPr>
          <w:rFonts w:ascii="Calibri" w:hAnsi="Calibri" w:cs="Calibri"/>
          <w:sz w:val="22"/>
          <w:szCs w:val="22"/>
        </w:rPr>
        <w:t xml:space="preserve">Działania </w:t>
      </w:r>
      <w:r w:rsidR="005964D4">
        <w:rPr>
          <w:rFonts w:ascii="Calibri" w:hAnsi="Calibri" w:cs="Calibri"/>
          <w:sz w:val="22"/>
          <w:szCs w:val="22"/>
        </w:rPr>
        <w:t>2</w:t>
      </w:r>
      <w:r w:rsidR="00062573" w:rsidRPr="00062573">
        <w:rPr>
          <w:rFonts w:ascii="Calibri" w:hAnsi="Calibri" w:cs="Calibri"/>
          <w:sz w:val="22"/>
          <w:szCs w:val="22"/>
        </w:rPr>
        <w:t>.</w:t>
      </w:r>
      <w:r w:rsidR="003D69AB">
        <w:rPr>
          <w:rFonts w:ascii="Calibri" w:hAnsi="Calibri" w:cs="Calibri"/>
          <w:sz w:val="22"/>
          <w:szCs w:val="22"/>
        </w:rPr>
        <w:t>1</w:t>
      </w:r>
      <w:r w:rsidR="005964D4">
        <w:rPr>
          <w:rFonts w:ascii="Calibri" w:hAnsi="Calibri" w:cs="Calibri"/>
          <w:sz w:val="22"/>
          <w:szCs w:val="22"/>
        </w:rPr>
        <w:t>3</w:t>
      </w:r>
      <w:r w:rsidR="000825C9">
        <w:rPr>
          <w:rFonts w:ascii="Calibri" w:hAnsi="Calibri" w:cs="Calibri"/>
          <w:sz w:val="22"/>
          <w:szCs w:val="22"/>
        </w:rPr>
        <w:t>.</w:t>
      </w:r>
      <w:r w:rsidR="00062573" w:rsidRPr="00062573">
        <w:rPr>
          <w:rFonts w:ascii="Calibri" w:hAnsi="Calibri" w:cs="Calibri"/>
          <w:sz w:val="22"/>
          <w:szCs w:val="22"/>
        </w:rPr>
        <w:t xml:space="preserve"> </w:t>
      </w:r>
      <w:r w:rsidR="005964D4" w:rsidRPr="005964D4">
        <w:rPr>
          <w:rFonts w:ascii="Calibri" w:hAnsi="Calibri" w:cs="Calibri"/>
          <w:sz w:val="22"/>
          <w:szCs w:val="22"/>
        </w:rPr>
        <w:t xml:space="preserve">Gospodarka o obiegu zamkniętym </w:t>
      </w:r>
      <w:r w:rsidR="00062573" w:rsidRPr="00062573">
        <w:rPr>
          <w:rFonts w:ascii="Calibri" w:hAnsi="Calibri" w:cs="Calibri"/>
          <w:sz w:val="22"/>
          <w:szCs w:val="22"/>
        </w:rPr>
        <w:t>programu regionalnego Fundusze Europejskie dla Pomorza 2021-2027</w:t>
      </w:r>
    </w:p>
    <w:p w14:paraId="6DC6D34B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C3B6A5B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6" w:name="_Toc140497408"/>
      <w:bookmarkStart w:id="7" w:name="_Toc144205279"/>
      <w:r w:rsidR="00BB5FD4" w:rsidRPr="00A82A84">
        <w:rPr>
          <w:rFonts w:cs="Calibri"/>
        </w:rPr>
        <w:lastRenderedPageBreak/>
        <w:t>Wstęp</w:t>
      </w:r>
      <w:bookmarkEnd w:id="6"/>
      <w:bookmarkEnd w:id="7"/>
    </w:p>
    <w:p w14:paraId="7E6BFC92" w14:textId="31F12583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bookmarkStart w:id="8" w:name="_Hlk145679996"/>
      <w:r w:rsidR="002F5C3D">
        <w:rPr>
          <w:rFonts w:ascii="Calibri" w:hAnsi="Calibri" w:cs="Calibri"/>
          <w:b/>
          <w:bCs/>
          <w:sz w:val="22"/>
          <w:szCs w:val="22"/>
        </w:rPr>
        <w:t>2</w:t>
      </w:r>
      <w:r w:rsidR="00491561">
        <w:rPr>
          <w:rFonts w:ascii="Calibri" w:hAnsi="Calibri" w:cs="Calibri"/>
          <w:b/>
          <w:bCs/>
          <w:sz w:val="22"/>
          <w:szCs w:val="22"/>
        </w:rPr>
        <w:t>.1</w:t>
      </w:r>
      <w:r w:rsidR="002F5C3D">
        <w:rPr>
          <w:rFonts w:ascii="Calibri" w:hAnsi="Calibri" w:cs="Calibri"/>
          <w:b/>
          <w:bCs/>
          <w:sz w:val="22"/>
          <w:szCs w:val="22"/>
        </w:rPr>
        <w:t>3</w:t>
      </w:r>
      <w:r w:rsidR="000825C9">
        <w:rPr>
          <w:rFonts w:ascii="Calibri" w:hAnsi="Calibri" w:cs="Calibri"/>
          <w:b/>
          <w:bCs/>
          <w:sz w:val="22"/>
          <w:szCs w:val="22"/>
        </w:rPr>
        <w:t>.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8"/>
      <w:r w:rsidR="002F5C3D" w:rsidRPr="002F5C3D">
        <w:rPr>
          <w:rFonts w:ascii="Calibri" w:hAnsi="Calibri" w:cs="Calibri"/>
          <w:b/>
          <w:bCs/>
          <w:sz w:val="22"/>
          <w:szCs w:val="22"/>
        </w:rPr>
        <w:t>Gospodarka o obiegu zamkniętym</w:t>
      </w:r>
      <w:r w:rsidR="002F5C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1460" w:rsidRPr="00A82A84">
        <w:rPr>
          <w:rFonts w:ascii="Calibri" w:hAnsi="Calibri" w:cs="Calibri"/>
          <w:sz w:val="22"/>
          <w:szCs w:val="22"/>
        </w:rPr>
        <w:t xml:space="preserve">programu </w:t>
      </w:r>
      <w:r w:rsidR="00951527" w:rsidRPr="00A82A84">
        <w:rPr>
          <w:rFonts w:ascii="Calibri" w:hAnsi="Calibri" w:cs="Calibri"/>
          <w:sz w:val="22"/>
          <w:szCs w:val="22"/>
        </w:rPr>
        <w:t xml:space="preserve">regionalnego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491561">
        <w:rPr>
          <w:rFonts w:ascii="Calibri" w:hAnsi="Calibri" w:cs="Calibri"/>
          <w:sz w:val="22"/>
          <w:szCs w:val="22"/>
        </w:rPr>
        <w:t>.</w:t>
      </w:r>
      <w:r w:rsidR="0041333C" w:rsidRPr="0041333C">
        <w:rPr>
          <w:rFonts w:ascii="Calibri" w:hAnsi="Calibri" w:cs="Calibri"/>
          <w:b/>
          <w:sz w:val="22"/>
          <w:szCs w:val="22"/>
        </w:rPr>
        <w:t xml:space="preserve"> </w:t>
      </w:r>
      <w:bookmarkStart w:id="9" w:name="_Hlk142475871"/>
    </w:p>
    <w:bookmarkEnd w:id="9"/>
    <w:p w14:paraId="0FC5733D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4A9A47E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1BC60E0A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18155F4A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6F56291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0ED30F7F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10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10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5206452A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559847C7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1" w:name="_Hlk131432274"/>
      <w:bookmarkStart w:id="12" w:name="_Toc415657306"/>
      <w:bookmarkStart w:id="13" w:name="_Toc415662982"/>
      <w:bookmarkStart w:id="14" w:name="_Toc416360876"/>
      <w:bookmarkStart w:id="15" w:name="_Toc416361062"/>
      <w:bookmarkStart w:id="16" w:name="_Toc416362461"/>
      <w:bookmarkStart w:id="17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1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18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18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4E06903C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43CF1">
        <w:rPr>
          <w:rFonts w:ascii="Calibri" w:hAnsi="Calibri" w:cs="Calibri"/>
          <w:sz w:val="22"/>
          <w:szCs w:val="22"/>
        </w:rPr>
        <w:t>W przypadku projektów, których wartość kosztów kwalifikowalnych w dniu złożenia wniosku o dofinansowanie była równa lub większa od 50 mln złotych</w:t>
      </w:r>
      <w:r w:rsidR="00951527" w:rsidRPr="00743CF1">
        <w:rPr>
          <w:rFonts w:ascii="Calibri" w:hAnsi="Calibri" w:cs="Calibri"/>
          <w:sz w:val="22"/>
          <w:szCs w:val="22"/>
        </w:rPr>
        <w:t xml:space="preserve"> </w:t>
      </w:r>
      <w:r w:rsidR="00B45662" w:rsidRPr="00743CF1">
        <w:rPr>
          <w:rFonts w:ascii="Calibri" w:hAnsi="Calibri" w:cs="Calibri"/>
          <w:sz w:val="22"/>
          <w:szCs w:val="22"/>
        </w:rPr>
        <w:t xml:space="preserve">należy </w:t>
      </w:r>
      <w:r w:rsidR="00666D66" w:rsidRPr="00743CF1">
        <w:rPr>
          <w:rFonts w:ascii="Calibri" w:hAnsi="Calibri" w:cs="Calibri"/>
          <w:sz w:val="22"/>
          <w:szCs w:val="22"/>
        </w:rPr>
        <w:t xml:space="preserve">zachować </w:t>
      </w:r>
      <w:r w:rsidR="006C1460" w:rsidRPr="00743CF1">
        <w:rPr>
          <w:rFonts w:ascii="Calibri" w:hAnsi="Calibri" w:cs="Calibri"/>
          <w:sz w:val="22"/>
          <w:szCs w:val="22"/>
        </w:rPr>
        <w:t xml:space="preserve">pełną </w:t>
      </w:r>
      <w:r w:rsidR="00666D66" w:rsidRPr="00743CF1">
        <w:rPr>
          <w:rFonts w:ascii="Calibri" w:hAnsi="Calibri" w:cs="Calibri"/>
          <w:sz w:val="22"/>
          <w:szCs w:val="22"/>
        </w:rPr>
        <w:t>zgodność z tym dokumentem</w:t>
      </w:r>
      <w:r w:rsidR="00791026" w:rsidRPr="00743CF1">
        <w:rPr>
          <w:rFonts w:ascii="Calibri" w:hAnsi="Calibri" w:cs="Calibri"/>
          <w:sz w:val="22"/>
          <w:szCs w:val="22"/>
        </w:rPr>
        <w:t>.</w:t>
      </w:r>
      <w:r w:rsidR="00951527" w:rsidRPr="00743CF1">
        <w:rPr>
          <w:rFonts w:ascii="Calibri" w:hAnsi="Calibri" w:cs="Calibri"/>
          <w:sz w:val="22"/>
          <w:szCs w:val="22"/>
        </w:rPr>
        <w:t xml:space="preserve"> W przypadku projektów </w:t>
      </w:r>
      <w:r w:rsidRPr="00743CF1">
        <w:rPr>
          <w:rFonts w:ascii="Calibri" w:hAnsi="Calibri" w:cs="Calibri"/>
          <w:sz w:val="22"/>
          <w:szCs w:val="22"/>
        </w:rPr>
        <w:t>mniejszych</w:t>
      </w:r>
      <w:r w:rsidR="00951527" w:rsidRPr="00743CF1">
        <w:rPr>
          <w:rFonts w:ascii="Calibri" w:hAnsi="Calibri" w:cs="Calibri"/>
          <w:sz w:val="22"/>
          <w:szCs w:val="22"/>
        </w:rPr>
        <w:t xml:space="preserve"> – </w:t>
      </w:r>
      <w:r w:rsidR="00951527" w:rsidRPr="00A82A84">
        <w:rPr>
          <w:rFonts w:ascii="Calibri" w:hAnsi="Calibri" w:cs="Calibri"/>
          <w:sz w:val="22"/>
          <w:szCs w:val="22"/>
        </w:rPr>
        <w:t xml:space="preserve">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6CD819B2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19" w:name="_Toc144205280"/>
      <w:r w:rsidR="000F181D" w:rsidRPr="00603EE9">
        <w:lastRenderedPageBreak/>
        <w:t>Zalecana s</w:t>
      </w:r>
      <w:r w:rsidR="002C4CA2" w:rsidRPr="00603EE9">
        <w:t>truktura Studium Wykonalności</w:t>
      </w:r>
      <w:bookmarkEnd w:id="12"/>
      <w:bookmarkEnd w:id="13"/>
      <w:bookmarkEnd w:id="14"/>
      <w:bookmarkEnd w:id="15"/>
      <w:bookmarkEnd w:id="16"/>
      <w:bookmarkEnd w:id="17"/>
      <w:bookmarkEnd w:id="19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20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20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24D40B9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68B8A184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574FE" wp14:editId="6E55FC94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5EF5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25F0B725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74FE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32BD5EF5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25F0B725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0E193A85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78E6CA91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79E77" wp14:editId="4C17403A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B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48F61D1A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24C7552D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0E1B53F3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49705862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75FB8FE6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4ECC64C3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12427093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19E561D0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0FE63B10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1" w:name="_Toc140497409"/>
      <w:bookmarkStart w:id="22" w:name="_Toc144205281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1"/>
      <w:bookmarkEnd w:id="22"/>
    </w:p>
    <w:p w14:paraId="0E7487C4" w14:textId="77777777" w:rsidR="00635CA5" w:rsidRPr="007141EE" w:rsidRDefault="007141EE" w:rsidP="00E37701">
      <w:pPr>
        <w:pStyle w:val="Nagwek3"/>
        <w:spacing w:line="276" w:lineRule="auto"/>
      </w:pPr>
      <w:bookmarkStart w:id="23" w:name="_Toc140497410"/>
      <w:bookmarkStart w:id="24" w:name="_Toc144205282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3"/>
      <w:bookmarkEnd w:id="24"/>
    </w:p>
    <w:p w14:paraId="27893176" w14:textId="77777777" w:rsidR="00635CA5" w:rsidRPr="00603EE9" w:rsidRDefault="007141EE" w:rsidP="00E37701">
      <w:pPr>
        <w:pStyle w:val="Nagwek4"/>
      </w:pPr>
      <w:bookmarkStart w:id="25" w:name="_Toc140497411"/>
      <w:bookmarkStart w:id="26" w:name="_Toc144205283"/>
      <w:r w:rsidRPr="007141EE">
        <w:t xml:space="preserve">1.1. </w:t>
      </w:r>
      <w:r w:rsidR="001F69C2" w:rsidRPr="007141EE">
        <w:t>Opis potrzeby realizacji projektu</w:t>
      </w:r>
      <w:bookmarkEnd w:id="25"/>
      <w:bookmarkEnd w:id="26"/>
      <w:r w:rsidR="00635CA5" w:rsidRPr="00603EE9">
        <w:tab/>
      </w:r>
    </w:p>
    <w:p w14:paraId="065E7222" w14:textId="5F8809A6" w:rsidR="008107CD" w:rsidRDefault="001F69C2" w:rsidP="008107CD">
      <w:pPr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Opis potrzeby realizacji projektu to kluczowy element studium, który daje podstawę do rozważenia możliwości sfinansowania danego projektu. Należy w nim przedstawić problemy interesariuszy projektu, które dany projekt ma rozwiązać. </w:t>
      </w:r>
      <w:r w:rsidR="001E1E9D" w:rsidRPr="00A82A84">
        <w:rPr>
          <w:rFonts w:ascii="Calibri" w:hAnsi="Calibri" w:cs="Calibri"/>
          <w:sz w:val="22"/>
          <w:szCs w:val="22"/>
        </w:rPr>
        <w:t>Następnie należy opisać, w jaki sposób realizacja projektu będzie stanowiła odpowiedź na zdiagnozowane potrzeby, wskazując przy tym, jaka jest pilność proponowanych działań</w:t>
      </w:r>
      <w:r w:rsidR="00B91EA1">
        <w:rPr>
          <w:rFonts w:ascii="Calibri" w:hAnsi="Calibri" w:cs="Calibri"/>
          <w:sz w:val="22"/>
          <w:szCs w:val="22"/>
        </w:rPr>
        <w:t xml:space="preserve">, z </w:t>
      </w:r>
      <w:r w:rsidR="00B91EA1" w:rsidRPr="00675D47">
        <w:rPr>
          <w:rFonts w:ascii="Calibri" w:hAnsi="Calibri" w:cs="Calibri"/>
          <w:sz w:val="22"/>
          <w:szCs w:val="22"/>
        </w:rPr>
        <w:t>uwzględnieniem</w:t>
      </w:r>
      <w:r w:rsidR="008107CD" w:rsidRPr="00675D47">
        <w:rPr>
          <w:rFonts w:ascii="Calibri" w:hAnsi="Calibri" w:cs="Calibri"/>
          <w:sz w:val="22"/>
          <w:szCs w:val="22"/>
        </w:rPr>
        <w:t>:</w:t>
      </w:r>
    </w:p>
    <w:p w14:paraId="580C2C68" w14:textId="67079AEC" w:rsidR="0006572F" w:rsidRPr="009A07A0" w:rsidRDefault="008107CD" w:rsidP="00675D47">
      <w:pPr>
        <w:pStyle w:val="Akapitzlist"/>
        <w:numPr>
          <w:ilvl w:val="0"/>
          <w:numId w:val="28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A07A0">
        <w:rPr>
          <w:rFonts w:asciiTheme="minorHAnsi" w:hAnsiTheme="minorHAnsi" w:cstheme="minorHAnsi"/>
          <w:b/>
          <w:sz w:val="22"/>
          <w:szCs w:val="22"/>
        </w:rPr>
        <w:t>w</w:t>
      </w:r>
      <w:r w:rsidR="002766FC" w:rsidRPr="009A07A0">
        <w:rPr>
          <w:rFonts w:asciiTheme="minorHAnsi" w:hAnsiTheme="minorHAnsi" w:cstheme="minorHAnsi"/>
          <w:b/>
          <w:sz w:val="22"/>
          <w:szCs w:val="22"/>
        </w:rPr>
        <w:t xml:space="preserve"> przypadku projektów dotyczących zagospodarowania odpadów komunalnych</w:t>
      </w:r>
      <w:r w:rsidR="002766FC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2766FC" w:rsidRPr="009A07A0">
        <w:rPr>
          <w:rFonts w:asciiTheme="minorHAnsi" w:hAnsiTheme="minorHAnsi" w:cstheme="minorHAnsi"/>
          <w:b/>
          <w:sz w:val="22"/>
          <w:szCs w:val="22"/>
        </w:rPr>
        <w:t>(tj. obejmujących typy projektu od pierwszego do czwartego</w:t>
      </w:r>
      <w:r w:rsidR="00062F61" w:rsidRPr="009A07A0">
        <w:t xml:space="preserve"> </w:t>
      </w:r>
      <w:r w:rsidR="00062F61" w:rsidRPr="009A07A0">
        <w:rPr>
          <w:rFonts w:asciiTheme="minorHAnsi" w:hAnsiTheme="minorHAnsi" w:cstheme="minorHAnsi"/>
          <w:b/>
          <w:sz w:val="22"/>
          <w:szCs w:val="22"/>
        </w:rPr>
        <w:t>wymienionych w opisie Działania 2.13. w SZOP</w:t>
      </w:r>
      <w:r w:rsidR="002766FC" w:rsidRPr="009A07A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220D5" w:rsidRPr="009A07A0">
        <w:rPr>
          <w:rFonts w:asciiTheme="minorHAnsi" w:hAnsiTheme="minorHAnsi" w:cstheme="minorHAnsi"/>
          <w:sz w:val="22"/>
          <w:szCs w:val="22"/>
        </w:rPr>
        <w:t xml:space="preserve">- </w:t>
      </w:r>
      <w:r w:rsidR="002766FC" w:rsidRPr="009A07A0">
        <w:rPr>
          <w:rFonts w:asciiTheme="minorHAnsi" w:hAnsiTheme="minorHAnsi" w:cstheme="minorHAnsi"/>
          <w:sz w:val="22"/>
          <w:szCs w:val="22"/>
        </w:rPr>
        <w:t>pilnoś</w:t>
      </w:r>
      <w:r w:rsidR="006220D5" w:rsidRPr="009A07A0">
        <w:rPr>
          <w:rFonts w:asciiTheme="minorHAnsi" w:hAnsiTheme="minorHAnsi" w:cstheme="minorHAnsi"/>
          <w:sz w:val="22"/>
          <w:szCs w:val="22"/>
        </w:rPr>
        <w:t>ci</w:t>
      </w:r>
      <w:r w:rsidR="002766FC" w:rsidRPr="009A07A0">
        <w:rPr>
          <w:rFonts w:asciiTheme="minorHAnsi" w:hAnsiTheme="minorHAnsi" w:cstheme="minorHAnsi"/>
          <w:sz w:val="22"/>
          <w:szCs w:val="22"/>
        </w:rPr>
        <w:t xml:space="preserve"> proponowanych działań z punktu widzenia obowiązku osiągniecia przez gminę wymaganego poziomu przygotowania do ponownego użycia i recyklingu odpadów komunalnych w wysokości co najmniej 60% wagowo - za rok 2030, zgodnie z zapisami art. 3b ust. 1 pkt 10 ustawy z dnia 13 września 1996 r. o utrzymaniu czystości i porządku w gminach</w:t>
      </w:r>
      <w:r w:rsidR="00675D47" w:rsidRPr="009A07A0">
        <w:rPr>
          <w:rFonts w:asciiTheme="minorHAnsi" w:hAnsiTheme="minorHAnsi" w:cstheme="minorHAnsi"/>
          <w:sz w:val="22"/>
          <w:szCs w:val="22"/>
        </w:rPr>
        <w:t>;</w:t>
      </w:r>
    </w:p>
    <w:p w14:paraId="434935B0" w14:textId="77777777" w:rsidR="00397529" w:rsidRPr="009A07A0" w:rsidRDefault="00397529" w:rsidP="00397529">
      <w:pPr>
        <w:pStyle w:val="Akapitzlist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53B4BBD" w14:textId="67CD6C24" w:rsidR="001F69C2" w:rsidRPr="009A07A0" w:rsidRDefault="008107CD" w:rsidP="00675D47">
      <w:pPr>
        <w:pStyle w:val="Akapitzlist"/>
        <w:numPr>
          <w:ilvl w:val="0"/>
          <w:numId w:val="28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A07A0">
        <w:rPr>
          <w:rFonts w:asciiTheme="minorHAnsi" w:hAnsiTheme="minorHAnsi" w:cstheme="minorHAnsi"/>
          <w:b/>
          <w:sz w:val="22"/>
          <w:szCs w:val="22"/>
        </w:rPr>
        <w:t>w</w:t>
      </w:r>
      <w:r w:rsidR="002766FC" w:rsidRPr="009A07A0">
        <w:rPr>
          <w:rFonts w:asciiTheme="minorHAnsi" w:hAnsiTheme="minorHAnsi" w:cstheme="minorHAnsi"/>
          <w:b/>
          <w:sz w:val="22"/>
          <w:szCs w:val="22"/>
        </w:rPr>
        <w:t xml:space="preserve"> przypadku projektów w zakresie zapobiegania powstawaniu odpadów żywności,</w:t>
      </w:r>
      <w:r w:rsidR="002766FC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2766FC" w:rsidRPr="009A07A0">
        <w:rPr>
          <w:rFonts w:asciiTheme="minorHAnsi" w:hAnsiTheme="minorHAnsi" w:cstheme="minorHAnsi"/>
          <w:b/>
          <w:sz w:val="22"/>
          <w:szCs w:val="22"/>
        </w:rPr>
        <w:t xml:space="preserve">w szczególności przez wykorzystanie niesprzedanych produktów spożywczych lub produktów o krótkim terminie przydatności do spożycia (tj. obejmujących </w:t>
      </w:r>
      <w:r w:rsidR="0039008F" w:rsidRPr="009A07A0">
        <w:rPr>
          <w:rFonts w:asciiTheme="minorHAnsi" w:hAnsiTheme="minorHAnsi" w:cstheme="minorHAnsi"/>
          <w:b/>
          <w:sz w:val="22"/>
          <w:szCs w:val="22"/>
        </w:rPr>
        <w:t>siódmy</w:t>
      </w:r>
      <w:r w:rsidR="008654FD" w:rsidRPr="009A07A0">
        <w:rPr>
          <w:rFonts w:asciiTheme="minorHAnsi" w:hAnsiTheme="minorHAnsi" w:cstheme="minorHAnsi"/>
          <w:b/>
          <w:sz w:val="22"/>
          <w:szCs w:val="22"/>
        </w:rPr>
        <w:t xml:space="preserve"> typ projektu</w:t>
      </w:r>
      <w:r w:rsidR="0039008F" w:rsidRPr="009A07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54FD" w:rsidRPr="009A07A0">
        <w:rPr>
          <w:rFonts w:asciiTheme="minorHAnsi" w:hAnsiTheme="minorHAnsi" w:cstheme="minorHAnsi"/>
          <w:b/>
          <w:sz w:val="22"/>
          <w:szCs w:val="22"/>
        </w:rPr>
        <w:t>wymieniony w opisie Działania 2.13. w SZOP</w:t>
      </w:r>
      <w:r w:rsidR="0039008F" w:rsidRPr="009A07A0">
        <w:rPr>
          <w:rFonts w:asciiTheme="minorHAnsi" w:hAnsiTheme="minorHAnsi" w:cstheme="minorHAnsi"/>
          <w:b/>
          <w:sz w:val="22"/>
          <w:szCs w:val="22"/>
        </w:rPr>
        <w:t>)</w:t>
      </w:r>
      <w:r w:rsidR="00675D47" w:rsidRPr="009A07A0">
        <w:rPr>
          <w:rFonts w:asciiTheme="minorHAnsi" w:hAnsiTheme="minorHAnsi" w:cstheme="minorHAnsi"/>
          <w:sz w:val="22"/>
          <w:szCs w:val="22"/>
        </w:rPr>
        <w:t xml:space="preserve"> - </w:t>
      </w:r>
      <w:r w:rsidR="002766FC" w:rsidRPr="009A07A0">
        <w:rPr>
          <w:rFonts w:asciiTheme="minorHAnsi" w:hAnsiTheme="minorHAnsi" w:cstheme="minorHAnsi"/>
          <w:sz w:val="22"/>
          <w:szCs w:val="22"/>
        </w:rPr>
        <w:t>zarówno potrzeb, jak i pilności wyposażenia organizacji pozarządowej w</w:t>
      </w:r>
      <w:r w:rsidRPr="009A07A0">
        <w:t xml:space="preserve"> </w:t>
      </w:r>
      <w:r w:rsidRPr="009A07A0">
        <w:rPr>
          <w:rFonts w:asciiTheme="minorHAnsi" w:hAnsiTheme="minorHAnsi" w:cstheme="minorHAnsi"/>
          <w:sz w:val="22"/>
          <w:szCs w:val="22"/>
        </w:rPr>
        <w:t>środki niezbędne do prowadzenia działań w zakresie przeciwdziałania marnowaniu żywności.</w:t>
      </w:r>
    </w:p>
    <w:p w14:paraId="5ED583A0" w14:textId="77777777" w:rsidR="00635CA5" w:rsidRPr="00603EE9" w:rsidRDefault="007141EE" w:rsidP="00E37701">
      <w:pPr>
        <w:pStyle w:val="Nagwek4"/>
      </w:pPr>
      <w:bookmarkStart w:id="27" w:name="_Toc140497412"/>
      <w:bookmarkStart w:id="28" w:name="_Toc144205284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7"/>
      <w:bookmarkEnd w:id="28"/>
    </w:p>
    <w:p w14:paraId="40277587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775CE22F" w:rsidR="007141EE" w:rsidRPr="0047008A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29" w:name="_Hlk132264158"/>
      <w:bookmarkStart w:id="30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29"/>
      <w:r w:rsidR="003D36F1" w:rsidRPr="00A82A84">
        <w:rPr>
          <w:rFonts w:ascii="Calibri" w:hAnsi="Calibri" w:cs="Calibri"/>
          <w:b/>
          <w:sz w:val="22"/>
          <w:szCs w:val="22"/>
        </w:rPr>
        <w:t xml:space="preserve"> dla </w:t>
      </w:r>
      <w:r w:rsidR="003D36F1" w:rsidRPr="0047008A">
        <w:rPr>
          <w:rFonts w:ascii="Calibri" w:hAnsi="Calibri" w:cs="Calibri"/>
          <w:b/>
          <w:sz w:val="22"/>
          <w:szCs w:val="22"/>
        </w:rPr>
        <w:t>Działania</w:t>
      </w:r>
      <w:bookmarkEnd w:id="30"/>
      <w:r w:rsidR="00A11081" w:rsidRPr="0047008A">
        <w:rPr>
          <w:rFonts w:ascii="Calibri" w:hAnsi="Calibri" w:cs="Calibri"/>
          <w:b/>
          <w:sz w:val="22"/>
          <w:szCs w:val="22"/>
        </w:rPr>
        <w:t xml:space="preserve"> </w:t>
      </w:r>
      <w:bookmarkStart w:id="31" w:name="_Hlk145680659"/>
      <w:r w:rsidR="0047008A" w:rsidRPr="0047008A">
        <w:rPr>
          <w:rFonts w:ascii="Calibri" w:hAnsi="Calibri" w:cs="Calibri"/>
          <w:b/>
          <w:sz w:val="22"/>
          <w:szCs w:val="22"/>
        </w:rPr>
        <w:t>2</w:t>
      </w:r>
      <w:r w:rsidR="00F25829" w:rsidRPr="0047008A">
        <w:rPr>
          <w:rFonts w:ascii="Calibri" w:hAnsi="Calibri" w:cs="Calibri"/>
          <w:b/>
          <w:sz w:val="22"/>
          <w:szCs w:val="22"/>
        </w:rPr>
        <w:t>.1</w:t>
      </w:r>
      <w:r w:rsidR="0047008A" w:rsidRPr="0047008A">
        <w:rPr>
          <w:rFonts w:ascii="Calibri" w:hAnsi="Calibri" w:cs="Calibri"/>
          <w:b/>
          <w:sz w:val="22"/>
          <w:szCs w:val="22"/>
        </w:rPr>
        <w:t>3</w:t>
      </w:r>
      <w:r w:rsidR="000825C9" w:rsidRPr="0047008A">
        <w:rPr>
          <w:rFonts w:ascii="Calibri" w:hAnsi="Calibri" w:cs="Calibri"/>
          <w:b/>
          <w:sz w:val="22"/>
          <w:szCs w:val="22"/>
        </w:rPr>
        <w:t>.</w:t>
      </w:r>
      <w:r w:rsidR="00F25829" w:rsidRPr="0047008A">
        <w:rPr>
          <w:rFonts w:ascii="Calibri" w:hAnsi="Calibri" w:cs="Calibri"/>
          <w:b/>
          <w:sz w:val="22"/>
          <w:szCs w:val="22"/>
        </w:rPr>
        <w:t xml:space="preserve"> </w:t>
      </w:r>
      <w:bookmarkEnd w:id="31"/>
      <w:r w:rsidR="0047008A" w:rsidRPr="0047008A">
        <w:rPr>
          <w:rFonts w:ascii="Calibri" w:hAnsi="Calibri" w:cs="Calibri"/>
          <w:b/>
          <w:sz w:val="22"/>
          <w:szCs w:val="22"/>
        </w:rPr>
        <w:t>Gospodarka o obiegu zamkniętym</w:t>
      </w:r>
      <w:r w:rsidR="0041333C" w:rsidRPr="0047008A">
        <w:rPr>
          <w:rFonts w:ascii="Calibri" w:hAnsi="Calibri" w:cs="Calibri"/>
          <w:b/>
          <w:sz w:val="22"/>
          <w:szCs w:val="22"/>
        </w:rPr>
        <w:t>.</w:t>
      </w:r>
    </w:p>
    <w:p w14:paraId="2CD13664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71207703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0582A262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lastRenderedPageBreak/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2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2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77777777" w:rsidR="00635CA5" w:rsidRPr="00E37701" w:rsidRDefault="007141EE" w:rsidP="00E37701">
      <w:pPr>
        <w:pStyle w:val="Nagwek4"/>
      </w:pPr>
      <w:bookmarkStart w:id="33" w:name="_Toc140497413"/>
      <w:bookmarkStart w:id="34" w:name="_Toc144205285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3"/>
      <w:bookmarkEnd w:id="34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78F74AB6" w:rsidR="006F7930" w:rsidRPr="009A07A0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A07A0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9A07A0">
        <w:rPr>
          <w:rFonts w:asciiTheme="minorHAnsi" w:hAnsiTheme="minorHAnsi" w:cstheme="minorHAnsi"/>
          <w:sz w:val="22"/>
          <w:szCs w:val="22"/>
        </w:rPr>
        <w:t>zadania</w:t>
      </w:r>
      <w:r w:rsidR="00B91EA1" w:rsidRPr="009A07A0">
        <w:rPr>
          <w:rFonts w:asciiTheme="minorHAnsi" w:hAnsiTheme="minorHAnsi" w:cstheme="minorHAnsi"/>
          <w:sz w:val="22"/>
          <w:szCs w:val="22"/>
        </w:rPr>
        <w:t xml:space="preserve">, w tym planowane do zakupu wyposażenie, jak również </w:t>
      </w:r>
      <w:r w:rsidR="0089254B" w:rsidRPr="009A07A0">
        <w:rPr>
          <w:rFonts w:ascii="Calibri" w:hAnsi="Calibri" w:cs="Calibri"/>
          <w:sz w:val="22"/>
          <w:szCs w:val="22"/>
        </w:rPr>
        <w:t>działania uzupełniające</w:t>
      </w:r>
      <w:r w:rsidR="00B91EA1" w:rsidRPr="009A07A0">
        <w:rPr>
          <w:rFonts w:ascii="Calibri" w:hAnsi="Calibri" w:cs="Calibri"/>
          <w:sz w:val="22"/>
          <w:szCs w:val="22"/>
        </w:rPr>
        <w:t xml:space="preserve"> (</w:t>
      </w:r>
      <w:r w:rsidR="0089254B" w:rsidRPr="009A07A0">
        <w:rPr>
          <w:rFonts w:ascii="Calibri" w:hAnsi="Calibri" w:cs="Calibri"/>
          <w:sz w:val="22"/>
          <w:szCs w:val="22"/>
        </w:rPr>
        <w:t>np.</w:t>
      </w:r>
      <w:r w:rsidR="005C6298" w:rsidRPr="009A07A0">
        <w:t xml:space="preserve"> </w:t>
      </w:r>
      <w:r w:rsidR="0089254B" w:rsidRPr="009A07A0">
        <w:rPr>
          <w:rFonts w:ascii="Calibri" w:hAnsi="Calibri" w:cs="Calibri"/>
          <w:sz w:val="22"/>
          <w:szCs w:val="22"/>
        </w:rPr>
        <w:t xml:space="preserve">działania sprzyjające adaptacji do zmian klimatu lub działania edukacyjne dotyczące </w:t>
      </w:r>
      <w:r w:rsidR="005C6298" w:rsidRPr="009A07A0">
        <w:rPr>
          <w:rFonts w:ascii="Calibri" w:hAnsi="Calibri" w:cs="Calibri"/>
          <w:sz w:val="22"/>
          <w:szCs w:val="22"/>
        </w:rPr>
        <w:t>podnoszenia poziomu wiedzy w zakresie gospodarki o obiegu zamkniętym</w:t>
      </w:r>
      <w:r w:rsidR="0089254B" w:rsidRPr="009A07A0">
        <w:rPr>
          <w:rFonts w:ascii="Calibri" w:hAnsi="Calibri" w:cs="Calibri"/>
          <w:sz w:val="22"/>
          <w:szCs w:val="22"/>
        </w:rPr>
        <w:t>)</w:t>
      </w:r>
      <w:r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9A07A0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9A07A0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9A07A0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9A07A0">
        <w:rPr>
          <w:rFonts w:asciiTheme="minorHAnsi" w:hAnsiTheme="minorHAnsi" w:cstheme="minorHAnsi"/>
          <w:sz w:val="22"/>
          <w:szCs w:val="22"/>
        </w:rPr>
        <w:t>wskazując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77777777" w:rsidR="00185962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5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5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7092B269" w14:textId="77777777" w:rsidR="00D05A16" w:rsidRPr="00D05A16" w:rsidRDefault="008A317A" w:rsidP="00D05A16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5341A7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9C5898" w:rsidRPr="005341A7">
        <w:rPr>
          <w:rFonts w:ascii="Calibri" w:hAnsi="Calibri" w:cs="Calibri"/>
          <w:sz w:val="22"/>
          <w:szCs w:val="22"/>
        </w:rPr>
        <w:t>;</w:t>
      </w:r>
    </w:p>
    <w:p w14:paraId="3FA688DC" w14:textId="282A0F1E" w:rsidR="00CD2DAF" w:rsidRPr="00D05A16" w:rsidRDefault="00CD2DAF" w:rsidP="00D05A16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D05A16">
        <w:rPr>
          <w:rFonts w:ascii="Calibri" w:hAnsi="Calibri" w:cs="Calibri"/>
          <w:sz w:val="22"/>
          <w:szCs w:val="22"/>
        </w:rPr>
        <w:lastRenderedPageBreak/>
        <w:t>podział na wydatki objęte i nie objęte zasadami pomocy publicznej lub pomocy de minimis, wraz z przypisaniem im konkretnych schematów pomocy publicznej w ramach których zostaną one poniesione</w:t>
      </w:r>
      <w:r w:rsidR="00F668D3" w:rsidRPr="005341A7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D05A16">
        <w:rPr>
          <w:rFonts w:ascii="Calibri" w:hAnsi="Calibri" w:cs="Calibri"/>
          <w:sz w:val="22"/>
          <w:szCs w:val="22"/>
        </w:rPr>
        <w:t>;</w:t>
      </w:r>
    </w:p>
    <w:p w14:paraId="72DD43A6" w14:textId="46100792" w:rsidR="00715908" w:rsidRDefault="00715908" w:rsidP="000307AD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DE2C4D">
        <w:rPr>
          <w:rFonts w:ascii="Calibri" w:hAnsi="Calibri" w:cs="Calibri"/>
          <w:sz w:val="22"/>
          <w:szCs w:val="22"/>
        </w:rPr>
        <w:t>;</w:t>
      </w:r>
    </w:p>
    <w:p w14:paraId="2D792E71" w14:textId="77777777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6C644093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6" w:name="_Hlk145681125"/>
      <w:r w:rsidR="001633EF">
        <w:rPr>
          <w:rFonts w:ascii="Calibri" w:hAnsi="Calibri" w:cs="Calibri"/>
          <w:sz w:val="22"/>
          <w:szCs w:val="22"/>
        </w:rPr>
        <w:t>2</w:t>
      </w:r>
      <w:r w:rsidR="00EA75DA" w:rsidRPr="00EA75DA">
        <w:rPr>
          <w:rFonts w:ascii="Calibri" w:hAnsi="Calibri" w:cs="Calibri"/>
          <w:sz w:val="22"/>
          <w:szCs w:val="22"/>
        </w:rPr>
        <w:t>.1</w:t>
      </w:r>
      <w:r w:rsidR="001633EF">
        <w:rPr>
          <w:rFonts w:ascii="Calibri" w:hAnsi="Calibri" w:cs="Calibri"/>
          <w:sz w:val="22"/>
          <w:szCs w:val="22"/>
        </w:rPr>
        <w:t>3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</w:t>
      </w:r>
      <w:r w:rsidR="001633EF" w:rsidRPr="001633EF">
        <w:rPr>
          <w:rFonts w:ascii="Calibri" w:hAnsi="Calibri" w:cs="Calibri"/>
          <w:sz w:val="22"/>
          <w:szCs w:val="22"/>
        </w:rPr>
        <w:t>Gospodarka o obiegu zamkniętym</w:t>
      </w:r>
      <w:r w:rsidR="0057661F">
        <w:rPr>
          <w:rFonts w:ascii="Calibri" w:hAnsi="Calibri" w:cs="Calibri"/>
          <w:sz w:val="22"/>
          <w:szCs w:val="22"/>
        </w:rPr>
        <w:t xml:space="preserve"> </w:t>
      </w:r>
      <w:bookmarkEnd w:id="36"/>
      <w:r w:rsidR="0044324A" w:rsidRPr="00A82A84">
        <w:rPr>
          <w:rFonts w:ascii="Calibri" w:hAnsi="Calibri" w:cs="Calibri"/>
          <w:sz w:val="22"/>
          <w:szCs w:val="22"/>
        </w:rPr>
        <w:t xml:space="preserve">oraz umożliwić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5CB7CEEA" w14:textId="77777777" w:rsidR="008D58A1" w:rsidRPr="00A82A84" w:rsidRDefault="00671C1F" w:rsidP="00E37701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>W ramach niniejszego podrozdziału należy</w:t>
      </w:r>
      <w:r w:rsidR="00715908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pacing w:val="24"/>
          <w:sz w:val="22"/>
          <w:szCs w:val="22"/>
        </w:rPr>
        <w:t xml:space="preserve">także 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>.</w:t>
      </w:r>
      <w:r w:rsidR="0044324A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1289CC64" w14:textId="77777777" w:rsidR="00671C1F" w:rsidRPr="00A82A84" w:rsidRDefault="0044324A" w:rsidP="00E37701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</w:t>
      </w:r>
      <w:r w:rsidR="008D58A1" w:rsidRPr="00A82A84">
        <w:rPr>
          <w:rFonts w:ascii="Calibri" w:hAnsi="Calibri" w:cs="Calibri"/>
          <w:sz w:val="22"/>
          <w:szCs w:val="22"/>
        </w:rPr>
        <w:t>pkt 5.5.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433F2A" w:rsidRPr="00A82A84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egulaminu wyboru projektów. </w:t>
      </w:r>
    </w:p>
    <w:p w14:paraId="4B72C296" w14:textId="77777777" w:rsidR="00671C1F" w:rsidRPr="00A82A84" w:rsidRDefault="00671C1F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przypadku, gdy w ramach projektu zostanie zidentyfikowana pomoc publiczna lub pomoc de minimis, przeanalizowania wymagają wszystkie warunki dopuszczalności wybranego przeznaczenia pomocy, które wynikają z przepisów prawa UE i krajowego, regulujących to przeznaczenie pomocy. Szczególnej analizy wymaga wystąpienie tzw. </w:t>
      </w:r>
      <w:r w:rsidRPr="00A82A84">
        <w:rPr>
          <w:rFonts w:ascii="Calibri" w:hAnsi="Calibri" w:cs="Calibri"/>
          <w:bCs/>
          <w:sz w:val="22"/>
          <w:szCs w:val="22"/>
        </w:rPr>
        <w:t>efektu zachęty</w:t>
      </w:r>
      <w:r w:rsidRPr="00A82A84">
        <w:rPr>
          <w:rFonts w:ascii="Calibri" w:hAnsi="Calibri" w:cs="Calibri"/>
          <w:sz w:val="22"/>
          <w:szCs w:val="22"/>
        </w:rPr>
        <w:t xml:space="preserve">, jeśli dane przeznaczenie pomocy wymaga jego spełnienia. Kwestie efektu zachęty reguluje zwłaszcza artykuł 6 </w:t>
      </w:r>
      <w:r w:rsidRPr="00A82A84">
        <w:rPr>
          <w:rFonts w:ascii="Calibri" w:hAnsi="Calibri" w:cs="Calibri"/>
          <w:iCs/>
          <w:sz w:val="22"/>
          <w:szCs w:val="22"/>
        </w:rPr>
        <w:t xml:space="preserve">rozporządzenia Komisji (UE) nr </w:t>
      </w:r>
      <w:r w:rsidRPr="00A82A84">
        <w:rPr>
          <w:rFonts w:ascii="Calibri" w:hAnsi="Calibri" w:cs="Calibri"/>
          <w:bCs/>
          <w:iCs/>
          <w:sz w:val="22"/>
          <w:szCs w:val="22"/>
        </w:rPr>
        <w:t>651/2014 z dnia 17 czerwca 2014 r</w:t>
      </w:r>
      <w:r w:rsidRPr="00A82A84">
        <w:rPr>
          <w:rFonts w:ascii="Calibri" w:hAnsi="Calibri" w:cs="Calibri"/>
          <w:iCs/>
          <w:sz w:val="22"/>
          <w:szCs w:val="22"/>
        </w:rPr>
        <w:t xml:space="preserve">. uznającego niektóre rodzaje pomocy za zgodne z rynkiem wewnętrznym w zastosowaniu art. 107 i 108 Traktatu </w:t>
      </w:r>
      <w:r w:rsidRPr="00A82A84">
        <w:rPr>
          <w:rFonts w:ascii="Calibri" w:hAnsi="Calibri" w:cs="Calibri"/>
          <w:sz w:val="22"/>
          <w:szCs w:val="22"/>
        </w:rPr>
        <w:t>(tzw. GBER</w:t>
      </w:r>
      <w:r w:rsidRPr="00A82A84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A82A84">
        <w:rPr>
          <w:rFonts w:ascii="Calibri" w:hAnsi="Calibri" w:cs="Calibri"/>
          <w:sz w:val="22"/>
          <w:szCs w:val="22"/>
        </w:rPr>
        <w:t>).</w:t>
      </w:r>
    </w:p>
    <w:p w14:paraId="0C9FDF6B" w14:textId="77777777" w:rsidR="00635CA5" w:rsidRPr="00603EE9" w:rsidRDefault="008D58A1" w:rsidP="00E37701">
      <w:pPr>
        <w:pStyle w:val="Nagwek4"/>
      </w:pPr>
      <w:bookmarkStart w:id="37" w:name="_Toc140497414"/>
      <w:bookmarkStart w:id="38" w:name="_Toc144205286"/>
      <w:bookmarkStart w:id="39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7"/>
      <w:bookmarkEnd w:id="38"/>
    </w:p>
    <w:p w14:paraId="6C4AC710" w14:textId="5C64D648" w:rsidR="00F95CF7" w:rsidRPr="00EB513E" w:rsidRDefault="00A82D27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EB513E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EB513E">
        <w:rPr>
          <w:rFonts w:ascii="Calibri" w:hAnsi="Calibri" w:cs="Calibri"/>
          <w:sz w:val="22"/>
          <w:szCs w:val="22"/>
        </w:rPr>
        <w:t xml:space="preserve">następujących </w:t>
      </w:r>
      <w:r w:rsidRPr="00EB513E">
        <w:rPr>
          <w:rFonts w:ascii="Calibri" w:hAnsi="Calibri" w:cs="Calibri"/>
          <w:sz w:val="22"/>
          <w:szCs w:val="22"/>
        </w:rPr>
        <w:t xml:space="preserve">kryteriów </w:t>
      </w:r>
      <w:r w:rsidR="0044324A" w:rsidRPr="00EB513E">
        <w:rPr>
          <w:rFonts w:ascii="Calibri" w:hAnsi="Calibri" w:cs="Calibri"/>
          <w:sz w:val="22"/>
          <w:szCs w:val="22"/>
        </w:rPr>
        <w:t xml:space="preserve">strategicznych </w:t>
      </w:r>
      <w:r w:rsidRPr="00EB513E">
        <w:rPr>
          <w:rFonts w:ascii="Calibri" w:hAnsi="Calibri" w:cs="Calibri"/>
          <w:sz w:val="22"/>
          <w:szCs w:val="22"/>
        </w:rPr>
        <w:t xml:space="preserve">dla </w:t>
      </w:r>
      <w:r w:rsidR="0057661F" w:rsidRPr="00EB513E">
        <w:rPr>
          <w:rFonts w:ascii="Calibri" w:hAnsi="Calibri" w:cs="Calibri"/>
          <w:sz w:val="22"/>
          <w:szCs w:val="22"/>
        </w:rPr>
        <w:t xml:space="preserve">Działania </w:t>
      </w:r>
      <w:bookmarkStart w:id="40" w:name="_Hlk147233838"/>
      <w:r w:rsidR="00EB513E" w:rsidRPr="00EB513E">
        <w:rPr>
          <w:rFonts w:ascii="Calibri" w:hAnsi="Calibri" w:cs="Calibri"/>
          <w:sz w:val="22"/>
          <w:szCs w:val="22"/>
        </w:rPr>
        <w:t>2</w:t>
      </w:r>
      <w:r w:rsidR="00EA75DA" w:rsidRPr="00EB513E">
        <w:rPr>
          <w:rFonts w:ascii="Calibri" w:hAnsi="Calibri" w:cs="Calibri"/>
          <w:sz w:val="22"/>
          <w:szCs w:val="22"/>
        </w:rPr>
        <w:t>.1</w:t>
      </w:r>
      <w:r w:rsidR="00EB513E" w:rsidRPr="00EB513E">
        <w:rPr>
          <w:rFonts w:ascii="Calibri" w:hAnsi="Calibri" w:cs="Calibri"/>
          <w:sz w:val="22"/>
          <w:szCs w:val="22"/>
        </w:rPr>
        <w:t>3</w:t>
      </w:r>
      <w:r w:rsidR="000825C9" w:rsidRPr="00EB513E">
        <w:rPr>
          <w:rFonts w:ascii="Calibri" w:hAnsi="Calibri" w:cs="Calibri"/>
          <w:sz w:val="22"/>
          <w:szCs w:val="22"/>
        </w:rPr>
        <w:t>.</w:t>
      </w:r>
      <w:r w:rsidR="00EA75DA" w:rsidRPr="00EB513E">
        <w:rPr>
          <w:rFonts w:ascii="Calibri" w:hAnsi="Calibri" w:cs="Calibri"/>
          <w:sz w:val="22"/>
          <w:szCs w:val="22"/>
        </w:rPr>
        <w:t xml:space="preserve"> </w:t>
      </w:r>
      <w:r w:rsidR="00EB513E" w:rsidRPr="00EB513E">
        <w:rPr>
          <w:rFonts w:ascii="Calibri" w:hAnsi="Calibri" w:cs="Calibri"/>
          <w:sz w:val="22"/>
          <w:szCs w:val="22"/>
        </w:rPr>
        <w:t>Gospodarka o obiegu zamkniętym</w:t>
      </w:r>
      <w:r w:rsidR="0057661F" w:rsidRPr="00EB513E">
        <w:rPr>
          <w:rFonts w:ascii="Calibri" w:hAnsi="Calibri" w:cs="Calibri"/>
          <w:sz w:val="22"/>
          <w:szCs w:val="22"/>
        </w:rPr>
        <w:t>.</w:t>
      </w:r>
      <w:bookmarkEnd w:id="40"/>
    </w:p>
    <w:bookmarkEnd w:id="39"/>
    <w:p w14:paraId="0BC39DB0" w14:textId="77777777" w:rsidR="000C1351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1.4.1. </w:t>
      </w:r>
      <w:r w:rsidR="000C1351" w:rsidRPr="00A82A84">
        <w:rPr>
          <w:rFonts w:ascii="Calibri" w:hAnsi="Calibri" w:cs="Calibri"/>
          <w:sz w:val="22"/>
          <w:szCs w:val="22"/>
        </w:rPr>
        <w:t>Profil projektu</w:t>
      </w:r>
    </w:p>
    <w:p w14:paraId="24F46642" w14:textId="24CFF364" w:rsidR="00EA75DA" w:rsidRPr="005163F6" w:rsidRDefault="000C1351" w:rsidP="00E502D3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>Należy opisać</w:t>
      </w:r>
      <w:r w:rsidR="00DE1F1F" w:rsidRPr="005163F6">
        <w:rPr>
          <w:rFonts w:ascii="Calibri" w:hAnsi="Calibri" w:cs="Calibri"/>
          <w:sz w:val="22"/>
          <w:szCs w:val="22"/>
        </w:rPr>
        <w:t xml:space="preserve"> sposób,</w:t>
      </w:r>
      <w:r w:rsidRPr="005163F6">
        <w:rPr>
          <w:rFonts w:ascii="Calibri" w:hAnsi="Calibri" w:cs="Calibri"/>
          <w:sz w:val="22"/>
          <w:szCs w:val="22"/>
        </w:rPr>
        <w:t xml:space="preserve"> w jaki założenia, cele i zakres przedmiotowego projektu wpisują się w</w:t>
      </w:r>
      <w:r w:rsidR="000C4F27" w:rsidRPr="005163F6">
        <w:rPr>
          <w:rFonts w:ascii="Calibri" w:hAnsi="Calibri" w:cs="Calibri"/>
          <w:sz w:val="22"/>
          <w:szCs w:val="22"/>
        </w:rPr>
        <w:t> </w:t>
      </w:r>
      <w:r w:rsidRPr="005163F6">
        <w:rPr>
          <w:rFonts w:ascii="Calibri" w:hAnsi="Calibri" w:cs="Calibri"/>
          <w:sz w:val="22"/>
          <w:szCs w:val="22"/>
        </w:rPr>
        <w:t xml:space="preserve">wyzwania, zakres i ukierunkowanie </w:t>
      </w:r>
      <w:r w:rsidR="00EA75DA" w:rsidRPr="005163F6">
        <w:rPr>
          <w:rFonts w:ascii="Calibri" w:hAnsi="Calibri" w:cs="Calibri"/>
          <w:sz w:val="22"/>
          <w:szCs w:val="22"/>
        </w:rPr>
        <w:t xml:space="preserve">celu szczegółowego 2 (vi) i Działania </w:t>
      </w:r>
      <w:r w:rsidR="00660402" w:rsidRPr="005163F6">
        <w:rPr>
          <w:rFonts w:ascii="Calibri" w:hAnsi="Calibri" w:cs="Calibri"/>
          <w:sz w:val="22"/>
          <w:szCs w:val="22"/>
        </w:rPr>
        <w:t>2</w:t>
      </w:r>
      <w:r w:rsidR="00EA75DA" w:rsidRPr="005163F6">
        <w:rPr>
          <w:rFonts w:ascii="Calibri" w:hAnsi="Calibri" w:cs="Calibri"/>
          <w:sz w:val="22"/>
          <w:szCs w:val="22"/>
        </w:rPr>
        <w:t>.1</w:t>
      </w:r>
      <w:r w:rsidR="00660402" w:rsidRPr="005163F6">
        <w:rPr>
          <w:rFonts w:ascii="Calibri" w:hAnsi="Calibri" w:cs="Calibri"/>
          <w:sz w:val="22"/>
          <w:szCs w:val="22"/>
        </w:rPr>
        <w:t>3</w:t>
      </w:r>
      <w:r w:rsidR="00EA75DA" w:rsidRPr="005163F6">
        <w:rPr>
          <w:rFonts w:ascii="Calibri" w:hAnsi="Calibri" w:cs="Calibri"/>
          <w:sz w:val="22"/>
          <w:szCs w:val="22"/>
        </w:rPr>
        <w:t xml:space="preserve">., </w:t>
      </w:r>
      <w:r w:rsidR="00B91EA1" w:rsidRPr="005163F6">
        <w:rPr>
          <w:rFonts w:ascii="Calibri" w:hAnsi="Calibri" w:cs="Calibri"/>
          <w:sz w:val="22"/>
          <w:szCs w:val="22"/>
        </w:rPr>
        <w:t xml:space="preserve">w tym </w:t>
      </w:r>
      <w:r w:rsidR="00E502D3" w:rsidRPr="005163F6">
        <w:rPr>
          <w:rFonts w:ascii="Calibri" w:hAnsi="Calibri" w:cs="Calibri"/>
          <w:sz w:val="22"/>
          <w:szCs w:val="22"/>
        </w:rPr>
        <w:t>w hierarchię sposobów postępowania z odpadami określoną w art. 17 ust. 1 ustawy z dnia 14 grudnia 2012 r. o odpadach</w:t>
      </w:r>
      <w:r w:rsidR="00EA75DA" w:rsidRPr="005163F6">
        <w:rPr>
          <w:rFonts w:ascii="Calibri" w:hAnsi="Calibri" w:cs="Calibri"/>
          <w:sz w:val="22"/>
          <w:szCs w:val="22"/>
        </w:rPr>
        <w:t xml:space="preserve">. </w:t>
      </w:r>
    </w:p>
    <w:p w14:paraId="5BCF2F37" w14:textId="77777777" w:rsidR="00DE1F1F" w:rsidRPr="00A82A84" w:rsidRDefault="00A82A84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1.4.2. </w:t>
      </w:r>
      <w:r w:rsidR="00DE1F1F" w:rsidRPr="00A82A84">
        <w:rPr>
          <w:rFonts w:ascii="Calibri" w:hAnsi="Calibri" w:cs="Calibri"/>
          <w:sz w:val="22"/>
          <w:szCs w:val="22"/>
        </w:rPr>
        <w:t>Wkład w zakładane efekty</w:t>
      </w:r>
    </w:p>
    <w:p w14:paraId="36532CB2" w14:textId="77777777" w:rsidR="00DE1F1F" w:rsidRPr="00A82A84" w:rsidRDefault="00DE1F1F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2FE668BB" w14:textId="1A6FD773" w:rsidR="00DE1F1F" w:rsidRPr="00373AA1" w:rsidRDefault="00DE1F1F" w:rsidP="00E37701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czy efekty realizacji projektu wnoszą wkład w osiągnięcie założonych</w:t>
      </w:r>
      <w:r w:rsidR="00E72D50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wskaźników produktu i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rezultatu zdefiniowanych </w:t>
      </w:r>
      <w:bookmarkStart w:id="41" w:name="_Hlk131435434"/>
      <w:r w:rsidR="00A273F7">
        <w:rPr>
          <w:rFonts w:ascii="Calibri" w:hAnsi="Calibri" w:cs="Calibri"/>
          <w:sz w:val="22"/>
          <w:szCs w:val="22"/>
        </w:rPr>
        <w:t xml:space="preserve">w </w:t>
      </w:r>
      <w:r w:rsidRPr="00373AA1">
        <w:rPr>
          <w:rFonts w:ascii="Calibri" w:hAnsi="Calibri" w:cs="Calibri"/>
          <w:sz w:val="22"/>
          <w:szCs w:val="22"/>
        </w:rPr>
        <w:t>Działani</w:t>
      </w:r>
      <w:r w:rsidR="007477BB" w:rsidRPr="00373AA1">
        <w:rPr>
          <w:rFonts w:ascii="Calibri" w:hAnsi="Calibri" w:cs="Calibri"/>
          <w:sz w:val="22"/>
          <w:szCs w:val="22"/>
        </w:rPr>
        <w:t>u</w:t>
      </w:r>
      <w:bookmarkEnd w:id="41"/>
      <w:r w:rsidR="00A273F7" w:rsidRPr="00373AA1">
        <w:rPr>
          <w:rFonts w:ascii="Calibri" w:hAnsi="Calibri" w:cs="Calibri"/>
          <w:sz w:val="22"/>
          <w:szCs w:val="22"/>
        </w:rPr>
        <w:t xml:space="preserve"> </w:t>
      </w:r>
      <w:r w:rsidR="00373AA1" w:rsidRPr="00373AA1">
        <w:rPr>
          <w:rFonts w:ascii="Calibri" w:hAnsi="Calibri" w:cs="Calibri"/>
          <w:sz w:val="22"/>
          <w:szCs w:val="22"/>
        </w:rPr>
        <w:t>2.13. Gospodarka o obiegu zamkniętym</w:t>
      </w:r>
      <w:r w:rsidR="00864459" w:rsidRPr="00373AA1">
        <w:rPr>
          <w:rFonts w:ascii="Calibri" w:hAnsi="Calibri" w:cs="Calibri"/>
          <w:sz w:val="22"/>
          <w:szCs w:val="22"/>
        </w:rPr>
        <w:t>?</w:t>
      </w:r>
    </w:p>
    <w:p w14:paraId="013518F1" w14:textId="4075C1A7" w:rsidR="00831FE5" w:rsidRPr="00373AA1" w:rsidRDefault="00DE1F1F" w:rsidP="00831FE5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efektów</w:t>
      </w:r>
      <w:r w:rsidR="00A273F7">
        <w:rPr>
          <w:rFonts w:ascii="Calibri" w:hAnsi="Calibri" w:cs="Calibri"/>
          <w:sz w:val="22"/>
          <w:szCs w:val="22"/>
        </w:rPr>
        <w:t xml:space="preserve"> </w:t>
      </w:r>
      <w:r w:rsidR="00A273F7" w:rsidRPr="00373AA1">
        <w:rPr>
          <w:rFonts w:ascii="Calibri" w:hAnsi="Calibri" w:cs="Calibri"/>
          <w:sz w:val="22"/>
          <w:szCs w:val="22"/>
        </w:rPr>
        <w:t xml:space="preserve">Działania </w:t>
      </w:r>
      <w:r w:rsidR="00373AA1" w:rsidRPr="00373AA1">
        <w:rPr>
          <w:rFonts w:ascii="Calibri" w:hAnsi="Calibri" w:cs="Calibri"/>
          <w:sz w:val="22"/>
          <w:szCs w:val="22"/>
        </w:rPr>
        <w:t>2.13. Gospodarka o obiegu zamkniętym</w:t>
      </w:r>
      <w:r w:rsidR="00864459" w:rsidRPr="00373AA1">
        <w:rPr>
          <w:rFonts w:ascii="Calibri" w:hAnsi="Calibri" w:cs="Calibri"/>
          <w:sz w:val="22"/>
          <w:szCs w:val="22"/>
        </w:rPr>
        <w:t>?</w:t>
      </w:r>
    </w:p>
    <w:p w14:paraId="10419595" w14:textId="752A7CA2" w:rsidR="00E1417E" w:rsidRP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>1.4.3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746D99F1" w14:textId="0C1C5B14" w:rsidR="00D1160D" w:rsidRPr="005163F6" w:rsidRDefault="00E1417E" w:rsidP="00A50517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 xml:space="preserve">Należy opisać, czy przewidziane w ramach projektu działania cechują się wieloaspektowością i kompleksowością </w:t>
      </w:r>
      <w:r w:rsidR="000B6C4B" w:rsidRPr="005163F6">
        <w:rPr>
          <w:rFonts w:ascii="Calibri" w:hAnsi="Calibri" w:cs="Calibri"/>
          <w:sz w:val="22"/>
          <w:szCs w:val="22"/>
        </w:rPr>
        <w:t>z punktu widzenia skutecznego i trwałego rozwiązania zdefiniowanych problemów w zakresie</w:t>
      </w:r>
      <w:r w:rsidR="00977066" w:rsidRPr="005163F6">
        <w:rPr>
          <w:rFonts w:ascii="Calibri" w:hAnsi="Calibri" w:cs="Calibri"/>
          <w:sz w:val="22"/>
          <w:szCs w:val="22"/>
        </w:rPr>
        <w:t xml:space="preserve"> </w:t>
      </w:r>
      <w:r w:rsidR="00A50517" w:rsidRPr="005163F6">
        <w:rPr>
          <w:rFonts w:ascii="Calibri" w:hAnsi="Calibri" w:cs="Calibri"/>
          <w:sz w:val="22"/>
          <w:szCs w:val="22"/>
        </w:rPr>
        <w:t>recyklingu odpadów, przygotowania odpadów komunalnych do procesów</w:t>
      </w:r>
      <w:r w:rsidR="00977066" w:rsidRPr="005163F6">
        <w:rPr>
          <w:rFonts w:ascii="Calibri" w:hAnsi="Calibri" w:cs="Calibri"/>
          <w:sz w:val="22"/>
          <w:szCs w:val="22"/>
        </w:rPr>
        <w:t xml:space="preserve"> </w:t>
      </w:r>
      <w:r w:rsidR="00A50517" w:rsidRPr="005163F6">
        <w:rPr>
          <w:rFonts w:ascii="Calibri" w:hAnsi="Calibri" w:cs="Calibri"/>
          <w:sz w:val="22"/>
          <w:szCs w:val="22"/>
        </w:rPr>
        <w:t>recyklingu, w tym selektywnego zbierania odpadów komunalnych, przygotowania</w:t>
      </w:r>
      <w:r w:rsidR="00977066" w:rsidRPr="005163F6">
        <w:rPr>
          <w:rFonts w:ascii="Calibri" w:hAnsi="Calibri" w:cs="Calibri"/>
          <w:sz w:val="22"/>
          <w:szCs w:val="22"/>
        </w:rPr>
        <w:t xml:space="preserve"> </w:t>
      </w:r>
      <w:r w:rsidR="00A50517" w:rsidRPr="005163F6">
        <w:rPr>
          <w:rFonts w:ascii="Calibri" w:hAnsi="Calibri" w:cs="Calibri"/>
          <w:sz w:val="22"/>
          <w:szCs w:val="22"/>
        </w:rPr>
        <w:t>produktów do ponownego użycia oraz zapobiegania powstawaniu odpadów</w:t>
      </w:r>
      <w:r w:rsidRPr="005163F6">
        <w:rPr>
          <w:rFonts w:ascii="Calibri" w:hAnsi="Calibri" w:cs="Calibri"/>
          <w:sz w:val="22"/>
          <w:szCs w:val="22"/>
        </w:rPr>
        <w:t>.</w:t>
      </w:r>
    </w:p>
    <w:p w14:paraId="54CAF6C5" w14:textId="60500EBA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0969CA5F" w14:textId="5E510473" w:rsidR="007477BB" w:rsidRPr="005163F6" w:rsidRDefault="007477BB" w:rsidP="00CB691D">
      <w:pPr>
        <w:spacing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5163F6">
        <w:rPr>
          <w:rFonts w:ascii="Calibri" w:hAnsi="Calibri" w:cs="Calibri"/>
          <w:sz w:val="22"/>
          <w:szCs w:val="22"/>
        </w:rPr>
        <w:t xml:space="preserve">związek projektu z innymi przedsięwzięciami w danym obszarze tematycznym i posiadającym zbliżone cele (zrealizowanymi, w trakcie realizacji, przesądzonymi do realizacji w przyszłości, niezależnie od </w:t>
      </w:r>
      <w:r w:rsidR="00B91EA1" w:rsidRPr="005163F6">
        <w:rPr>
          <w:rFonts w:ascii="Calibri" w:hAnsi="Calibri" w:cs="Calibri"/>
          <w:sz w:val="22"/>
          <w:szCs w:val="22"/>
        </w:rPr>
        <w:t xml:space="preserve">podmiotów realizujących i </w:t>
      </w:r>
      <w:r w:rsidR="00C34F1B" w:rsidRPr="005163F6">
        <w:rPr>
          <w:rFonts w:ascii="Calibri" w:hAnsi="Calibri" w:cs="Calibri"/>
          <w:sz w:val="22"/>
          <w:szCs w:val="22"/>
        </w:rPr>
        <w:t>źród</w:t>
      </w:r>
      <w:r w:rsidR="00E51CF9" w:rsidRPr="005163F6">
        <w:rPr>
          <w:rFonts w:ascii="Calibri" w:hAnsi="Calibri" w:cs="Calibri"/>
          <w:sz w:val="22"/>
          <w:szCs w:val="22"/>
        </w:rPr>
        <w:t>eł</w:t>
      </w:r>
      <w:r w:rsidR="00C34F1B" w:rsidRPr="005163F6">
        <w:rPr>
          <w:rFonts w:ascii="Calibri" w:hAnsi="Calibri" w:cs="Calibri"/>
          <w:sz w:val="22"/>
          <w:szCs w:val="22"/>
        </w:rPr>
        <w:t xml:space="preserve"> finansowania) oraz stopień, w jakim analizowane projekty i ich rezultaty warunkują lub wzmacniają się nawzajem.</w:t>
      </w:r>
      <w:r w:rsidR="00F84C5F" w:rsidRPr="005163F6">
        <w:rPr>
          <w:rFonts w:ascii="Calibri" w:hAnsi="Calibri" w:cs="Calibri"/>
          <w:sz w:val="22"/>
          <w:szCs w:val="22"/>
        </w:rPr>
        <w:t xml:space="preserve"> W </w:t>
      </w:r>
      <w:r w:rsidR="00C34F1B" w:rsidRPr="005163F6">
        <w:rPr>
          <w:rFonts w:ascii="Calibri" w:hAnsi="Calibri" w:cs="Calibri"/>
          <w:sz w:val="22"/>
          <w:szCs w:val="22"/>
        </w:rPr>
        <w:t xml:space="preserve">szczególności </w:t>
      </w:r>
      <w:r w:rsidR="00F84C5F" w:rsidRPr="005163F6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5163F6">
        <w:rPr>
          <w:rFonts w:ascii="Calibri" w:hAnsi="Calibri" w:cs="Calibri"/>
          <w:sz w:val="22"/>
          <w:szCs w:val="22"/>
        </w:rPr>
        <w:t>komplementarnoś</w:t>
      </w:r>
      <w:r w:rsidR="00B50194" w:rsidRPr="005163F6">
        <w:rPr>
          <w:rFonts w:ascii="Calibri" w:hAnsi="Calibri" w:cs="Calibri"/>
          <w:sz w:val="22"/>
          <w:szCs w:val="22"/>
        </w:rPr>
        <w:t>ć</w:t>
      </w:r>
      <w:r w:rsidR="00C34F1B" w:rsidRPr="005163F6">
        <w:rPr>
          <w:rFonts w:ascii="Calibri" w:hAnsi="Calibri" w:cs="Calibri"/>
          <w:sz w:val="22"/>
          <w:szCs w:val="22"/>
        </w:rPr>
        <w:t xml:space="preserve"> z projektami w obszarze</w:t>
      </w:r>
      <w:r w:rsidR="00CB691D" w:rsidRPr="005163F6">
        <w:rPr>
          <w:rFonts w:ascii="Calibri" w:hAnsi="Calibri" w:cs="Calibri"/>
          <w:sz w:val="22"/>
          <w:szCs w:val="22"/>
        </w:rPr>
        <w:t xml:space="preserve"> recyklingu odpadów, przygotowania odpadów komunalnych do procesów recyklingu, w tym selektywnego zbierania odpadów komunalnych, przygotowania produktów do ponownego użycia oraz zapobiegania powstawaniu odpadów.</w:t>
      </w:r>
    </w:p>
    <w:p w14:paraId="4C1007F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1.4.5. Wartość dodana projektu</w:t>
      </w:r>
    </w:p>
    <w:p w14:paraId="1E0ED5AB" w14:textId="41774907" w:rsidR="00332485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Pr="00A82A84">
        <w:rPr>
          <w:rFonts w:ascii="Calibri" w:hAnsi="Calibri" w:cs="Calibri"/>
          <w:sz w:val="22"/>
          <w:szCs w:val="22"/>
        </w:rPr>
        <w:t>.</w:t>
      </w:r>
      <w:r w:rsidR="00E40A6C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18397892" w14:textId="1A478551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ujęcie zakresu projektu w ramach Zintegrowanego Porozumienia Terytorialnego dla obszaru funkcjonalnego właściwego z punktu widzenia jego lokalizacji</w:t>
      </w:r>
      <w:r>
        <w:rPr>
          <w:rFonts w:ascii="Calibri" w:hAnsi="Calibri" w:cs="Calibri"/>
          <w:sz w:val="22"/>
          <w:szCs w:val="22"/>
        </w:rPr>
        <w:t xml:space="preserve"> (jeśli dotyczy)</w:t>
      </w:r>
      <w:r w:rsidR="00831FE5">
        <w:rPr>
          <w:rFonts w:ascii="Calibri" w:hAnsi="Calibri" w:cs="Calibri"/>
          <w:sz w:val="22"/>
          <w:szCs w:val="22"/>
        </w:rPr>
        <w:t>;</w:t>
      </w:r>
    </w:p>
    <w:p w14:paraId="2D239F23" w14:textId="524315DE" w:rsidR="00E40A6C" w:rsidRPr="005163F6" w:rsidRDefault="00E40A6C" w:rsidP="002D681B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>czy projekt uwzględnia</w:t>
      </w:r>
      <w:r w:rsidR="002D681B" w:rsidRPr="005163F6">
        <w:rPr>
          <w:rFonts w:ascii="Calibri" w:hAnsi="Calibri" w:cs="Calibri"/>
          <w:sz w:val="22"/>
          <w:szCs w:val="22"/>
        </w:rPr>
        <w:t xml:space="preserve"> </w:t>
      </w:r>
      <w:r w:rsidR="00744FAB" w:rsidRPr="005163F6">
        <w:rPr>
          <w:rFonts w:ascii="Calibri" w:hAnsi="Calibri" w:cs="Calibri"/>
          <w:sz w:val="22"/>
          <w:szCs w:val="22"/>
        </w:rPr>
        <w:t>rozwiązania mające na celu</w:t>
      </w:r>
      <w:r w:rsidR="002D681B" w:rsidRPr="005163F6">
        <w:rPr>
          <w:rFonts w:ascii="Calibri" w:hAnsi="Calibri" w:cs="Calibri"/>
          <w:sz w:val="22"/>
          <w:szCs w:val="22"/>
        </w:rPr>
        <w:t xml:space="preserve"> </w:t>
      </w:r>
      <w:r w:rsidR="00744FAB" w:rsidRPr="005163F6">
        <w:rPr>
          <w:rFonts w:ascii="Calibri" w:hAnsi="Calibri" w:cs="Calibri"/>
          <w:sz w:val="22"/>
          <w:szCs w:val="22"/>
        </w:rPr>
        <w:t>przygotowanie produktów do ponownego użycia lub mające na celu zapobieganie</w:t>
      </w:r>
      <w:r w:rsidR="002D681B" w:rsidRPr="005163F6">
        <w:rPr>
          <w:rFonts w:ascii="Calibri" w:hAnsi="Calibri" w:cs="Calibri"/>
          <w:sz w:val="22"/>
          <w:szCs w:val="22"/>
        </w:rPr>
        <w:t xml:space="preserve"> </w:t>
      </w:r>
      <w:r w:rsidR="00744FAB" w:rsidRPr="005163F6">
        <w:rPr>
          <w:rFonts w:ascii="Calibri" w:hAnsi="Calibri" w:cs="Calibri"/>
          <w:sz w:val="22"/>
          <w:szCs w:val="22"/>
        </w:rPr>
        <w:t>powstawaniu odpadów</w:t>
      </w:r>
      <w:r w:rsidRPr="005163F6">
        <w:rPr>
          <w:rFonts w:ascii="Calibri" w:hAnsi="Calibri" w:cs="Calibri"/>
          <w:sz w:val="22"/>
          <w:szCs w:val="22"/>
        </w:rPr>
        <w:t>?</w:t>
      </w:r>
    </w:p>
    <w:p w14:paraId="43394CE1" w14:textId="79457385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 xml:space="preserve">w jakim stopniu projekt wpisuje się w zalecenia związane z realizacją zasady </w:t>
      </w:r>
      <w:bookmarkStart w:id="42" w:name="_Hlk146114426"/>
      <w:r w:rsidRPr="00E40A6C">
        <w:rPr>
          <w:rFonts w:ascii="Calibri" w:hAnsi="Calibri" w:cs="Calibri"/>
          <w:sz w:val="22"/>
          <w:szCs w:val="22"/>
        </w:rPr>
        <w:t>DNSH</w:t>
      </w:r>
      <w:bookmarkEnd w:id="42"/>
      <w:r w:rsidRPr="00E40A6C">
        <w:rPr>
          <w:rFonts w:ascii="Calibri" w:hAnsi="Calibri" w:cs="Calibri"/>
          <w:sz w:val="22"/>
          <w:szCs w:val="22"/>
        </w:rPr>
        <w:t>, wskazane w „Analizie spełniania zasady DNSH dla projektu programu Fundusze Europejskie dla Pomorza 2021-2027”</w:t>
      </w:r>
      <w:r>
        <w:rPr>
          <w:rFonts w:ascii="Calibri" w:hAnsi="Calibri" w:cs="Calibri"/>
          <w:sz w:val="22"/>
          <w:szCs w:val="22"/>
        </w:rPr>
        <w:t>?</w:t>
      </w:r>
    </w:p>
    <w:p w14:paraId="3A27BE6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1.4.6. Specyficzne ukierunkowanie projektu</w:t>
      </w:r>
    </w:p>
    <w:p w14:paraId="43D3DAE1" w14:textId="2E8F0397" w:rsidR="00497BD9" w:rsidRPr="005163F6" w:rsidRDefault="00332485" w:rsidP="00052DB9">
      <w:pPr>
        <w:spacing w:before="120" w:line="276" w:lineRule="auto"/>
      </w:pPr>
      <w:r w:rsidRPr="00A82A84">
        <w:rPr>
          <w:rFonts w:ascii="Calibri" w:hAnsi="Calibri" w:cs="Calibri"/>
          <w:sz w:val="22"/>
          <w:szCs w:val="22"/>
        </w:rPr>
        <w:t>Należy opisać zgodność projektu z zapisami/</w:t>
      </w:r>
      <w:r w:rsidRPr="00D7028E">
        <w:rPr>
          <w:rFonts w:ascii="Calibri" w:hAnsi="Calibri" w:cs="Calibri"/>
          <w:sz w:val="22"/>
          <w:szCs w:val="22"/>
        </w:rPr>
        <w:t xml:space="preserve">preferencjami </w:t>
      </w:r>
      <w:r w:rsidRPr="00A82A84">
        <w:rPr>
          <w:rFonts w:ascii="Calibri" w:hAnsi="Calibri" w:cs="Calibri"/>
          <w:sz w:val="22"/>
          <w:szCs w:val="22"/>
        </w:rPr>
        <w:t xml:space="preserve">wskazanymi w ramach Obszaru D: </w:t>
      </w:r>
      <w:r w:rsidRPr="00A82A84">
        <w:rPr>
          <w:rFonts w:ascii="Calibri" w:hAnsi="Calibri" w:cs="Calibri"/>
          <w:b/>
          <w:bCs/>
          <w:sz w:val="22"/>
          <w:szCs w:val="22"/>
        </w:rPr>
        <w:t>Specyficzne ukierunkowanie projektu</w:t>
      </w:r>
      <w:r w:rsidR="0044324A" w:rsidRPr="00A82A84">
        <w:rPr>
          <w:rFonts w:ascii="Calibri" w:hAnsi="Calibri" w:cs="Calibri"/>
          <w:sz w:val="22"/>
          <w:szCs w:val="22"/>
        </w:rPr>
        <w:t>.</w:t>
      </w:r>
      <w:r w:rsidR="00D7028E">
        <w:rPr>
          <w:rFonts w:ascii="Calibri" w:hAnsi="Calibri" w:cs="Calibri"/>
          <w:sz w:val="22"/>
          <w:szCs w:val="22"/>
        </w:rPr>
        <w:t xml:space="preserve"> </w:t>
      </w:r>
      <w:r w:rsidR="00D7028E" w:rsidRPr="005163F6">
        <w:rPr>
          <w:rFonts w:ascii="Calibri" w:hAnsi="Calibri" w:cs="Calibri"/>
          <w:sz w:val="22"/>
          <w:szCs w:val="22"/>
        </w:rPr>
        <w:t>N</w:t>
      </w:r>
      <w:r w:rsidR="00E40A6C" w:rsidRPr="005163F6">
        <w:rPr>
          <w:rFonts w:ascii="Calibri" w:hAnsi="Calibri" w:cs="Calibri"/>
          <w:sz w:val="22"/>
          <w:szCs w:val="22"/>
        </w:rPr>
        <w:t>ależy wskazać</w:t>
      </w:r>
      <w:r w:rsidR="00F27A33" w:rsidRPr="005163F6">
        <w:rPr>
          <w:rFonts w:ascii="Calibri" w:hAnsi="Calibri" w:cs="Calibri"/>
          <w:sz w:val="22"/>
          <w:szCs w:val="22"/>
        </w:rPr>
        <w:t xml:space="preserve"> </w:t>
      </w:r>
      <w:r w:rsidR="00D443C4" w:rsidRPr="005163F6">
        <w:rPr>
          <w:rFonts w:ascii="Calibri" w:hAnsi="Calibri" w:cs="Calibri"/>
          <w:sz w:val="22"/>
          <w:szCs w:val="22"/>
        </w:rPr>
        <w:t>czy projekt wpisuje się w zapisy rozdziału 2 Zrównoważona konsumpcja</w:t>
      </w:r>
      <w:r w:rsidR="00052DB9" w:rsidRPr="005163F6">
        <w:rPr>
          <w:rFonts w:ascii="Calibri" w:hAnsi="Calibri" w:cs="Calibri"/>
          <w:sz w:val="22"/>
          <w:szCs w:val="22"/>
        </w:rPr>
        <w:t xml:space="preserve"> </w:t>
      </w:r>
      <w:r w:rsidR="00D443C4" w:rsidRPr="005163F6">
        <w:rPr>
          <w:rFonts w:ascii="Calibri" w:hAnsi="Calibri" w:cs="Calibri"/>
          <w:sz w:val="22"/>
          <w:szCs w:val="22"/>
        </w:rPr>
        <w:t xml:space="preserve">lub rozdziału 3 </w:t>
      </w:r>
      <w:proofErr w:type="spellStart"/>
      <w:r w:rsidR="00D443C4" w:rsidRPr="005163F6">
        <w:rPr>
          <w:rFonts w:ascii="Calibri" w:hAnsi="Calibri" w:cs="Calibri"/>
          <w:sz w:val="22"/>
          <w:szCs w:val="22"/>
        </w:rPr>
        <w:t>Biogospodarka</w:t>
      </w:r>
      <w:proofErr w:type="spellEnd"/>
      <w:r w:rsidR="00D443C4" w:rsidRPr="005163F6">
        <w:rPr>
          <w:rFonts w:ascii="Calibri" w:hAnsi="Calibri" w:cs="Calibri"/>
          <w:sz w:val="22"/>
          <w:szCs w:val="22"/>
        </w:rPr>
        <w:t xml:space="preserve"> przyjętej przez Radę Ministrów we wrześniu 2019 r. Mapy</w:t>
      </w:r>
      <w:r w:rsidR="00052DB9" w:rsidRPr="005163F6">
        <w:rPr>
          <w:rFonts w:ascii="Calibri" w:hAnsi="Calibri" w:cs="Calibri"/>
          <w:sz w:val="22"/>
          <w:szCs w:val="22"/>
        </w:rPr>
        <w:t xml:space="preserve"> </w:t>
      </w:r>
      <w:r w:rsidR="00D443C4" w:rsidRPr="005163F6">
        <w:rPr>
          <w:rFonts w:ascii="Calibri" w:hAnsi="Calibri" w:cs="Calibri"/>
          <w:sz w:val="22"/>
          <w:szCs w:val="22"/>
        </w:rPr>
        <w:t>drogowej transformacji w kierunku gospodarki o obiegu zamkniętym</w:t>
      </w:r>
      <w:r w:rsidR="007D3537" w:rsidRPr="005163F6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D7028E" w:rsidRPr="005163F6">
        <w:rPr>
          <w:rFonts w:ascii="Calibri" w:hAnsi="Calibri" w:cs="Calibri"/>
          <w:sz w:val="22"/>
          <w:szCs w:val="22"/>
        </w:rPr>
        <w:t xml:space="preserve">? </w:t>
      </w:r>
      <w:r w:rsidR="009E522A" w:rsidRPr="005163F6">
        <w:t xml:space="preserve"> </w:t>
      </w:r>
    </w:p>
    <w:p w14:paraId="588161B5" w14:textId="6B48890C" w:rsidR="00635CA5" w:rsidRPr="00603EE9" w:rsidRDefault="008D58A1" w:rsidP="00E37701">
      <w:pPr>
        <w:pStyle w:val="Nagwek3"/>
        <w:spacing w:line="276" w:lineRule="auto"/>
      </w:pPr>
      <w:bookmarkStart w:id="43" w:name="_Toc140497415"/>
      <w:bookmarkStart w:id="44" w:name="_Toc144205287"/>
      <w:r>
        <w:lastRenderedPageBreak/>
        <w:t xml:space="preserve">2. </w:t>
      </w:r>
      <w:r w:rsidR="00635CA5" w:rsidRPr="00603EE9">
        <w:t>Uwarunkowania realizacji projektu</w:t>
      </w:r>
      <w:bookmarkEnd w:id="43"/>
      <w:bookmarkEnd w:id="44"/>
    </w:p>
    <w:p w14:paraId="768E5370" w14:textId="77777777" w:rsidR="00635CA5" w:rsidRPr="00603EE9" w:rsidRDefault="008D58A1" w:rsidP="00E37701">
      <w:pPr>
        <w:pStyle w:val="Nagwek4"/>
      </w:pPr>
      <w:bookmarkStart w:id="45" w:name="_Toc140497416"/>
      <w:bookmarkStart w:id="46" w:name="_Toc144205288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5"/>
      <w:bookmarkEnd w:id="46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1046EB25" w:rsidR="000429A4" w:rsidRPr="005F416F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</w:t>
      </w:r>
      <w:r w:rsidR="002252C8">
        <w:rPr>
          <w:rFonts w:ascii="Calibri" w:hAnsi="Calibri" w:cs="Calibri"/>
          <w:sz w:val="22"/>
          <w:szCs w:val="22"/>
        </w:rPr>
        <w:t xml:space="preserve"> </w:t>
      </w:r>
      <w:r w:rsidR="005F416F" w:rsidRPr="005F416F">
        <w:rPr>
          <w:rFonts w:ascii="Calibri" w:hAnsi="Calibri" w:cs="Calibri"/>
          <w:sz w:val="22"/>
          <w:szCs w:val="22"/>
        </w:rPr>
        <w:t>(</w:t>
      </w:r>
      <w:r w:rsidRPr="005F416F">
        <w:rPr>
          <w:rFonts w:ascii="Calibri" w:hAnsi="Calibri" w:cs="Calibri"/>
          <w:sz w:val="22"/>
          <w:szCs w:val="22"/>
        </w:rPr>
        <w:t>jeśli dotyczy).</w:t>
      </w:r>
    </w:p>
    <w:p w14:paraId="0A6F6114" w14:textId="77777777" w:rsidR="00635CA5" w:rsidRPr="00603EE9" w:rsidRDefault="008D58A1" w:rsidP="00E37701">
      <w:pPr>
        <w:pStyle w:val="Nagwek4"/>
      </w:pPr>
      <w:bookmarkStart w:id="47" w:name="_Toc140497417"/>
      <w:bookmarkStart w:id="48" w:name="_Toc144205289"/>
      <w:bookmarkStart w:id="49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7"/>
      <w:bookmarkEnd w:id="48"/>
    </w:p>
    <w:bookmarkEnd w:id="49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50" w:name="_Toc140497418"/>
      <w:bookmarkStart w:id="51" w:name="_Toc144205290"/>
      <w:bookmarkStart w:id="52" w:name="_Hlk130541265"/>
      <w:r>
        <w:t xml:space="preserve">2.3. </w:t>
      </w:r>
      <w:r w:rsidR="000E4C68" w:rsidRPr="00603EE9">
        <w:t>Zgodność projektu z zasadami horyzontalnymi</w:t>
      </w:r>
      <w:bookmarkEnd w:id="50"/>
      <w:bookmarkEnd w:id="51"/>
    </w:p>
    <w:bookmarkEnd w:id="52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5CF1790A" w:rsidR="00F7005F" w:rsidRPr="003A0E3B" w:rsidRDefault="007550B7" w:rsidP="003A0E3B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9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Pr="003A0E3B">
        <w:rPr>
          <w:rFonts w:ascii="Calibri" w:hAnsi="Calibri" w:cs="Calibri"/>
          <w:sz w:val="22"/>
          <w:szCs w:val="22"/>
        </w:rPr>
        <w:t>.</w:t>
      </w:r>
      <w:bookmarkStart w:id="54" w:name="_Hlk130473478"/>
    </w:p>
    <w:p w14:paraId="22F96ECE" w14:textId="77777777" w:rsidR="005118EB" w:rsidRPr="00A82A84" w:rsidRDefault="005118EB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561CA3A9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0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54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463D1A54" w14:textId="1C2944DF" w:rsidR="00831FE5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7643E4EB" w14:textId="25B1F745" w:rsidR="006531E7" w:rsidRDefault="006531E7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3767DB1F" w14:textId="77777777" w:rsidR="006531E7" w:rsidRPr="00A82A84" w:rsidRDefault="006531E7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0DCAD9B3" w14:textId="77777777" w:rsidR="00F519DD" w:rsidRPr="00603EE9" w:rsidRDefault="008D58A1" w:rsidP="00E37701">
      <w:pPr>
        <w:pStyle w:val="Nagwek3"/>
        <w:spacing w:line="276" w:lineRule="auto"/>
      </w:pPr>
      <w:bookmarkStart w:id="55" w:name="_Toc140497420"/>
      <w:bookmarkStart w:id="56" w:name="_Toc144205291"/>
      <w:r>
        <w:lastRenderedPageBreak/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5"/>
      <w:bookmarkEnd w:id="56"/>
    </w:p>
    <w:p w14:paraId="3A0E576C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7" w:name="_Toc140497421"/>
    </w:p>
    <w:p w14:paraId="533C8C95" w14:textId="77777777" w:rsidR="00D511C2" w:rsidRPr="00603EE9" w:rsidRDefault="008D58A1" w:rsidP="00E37701">
      <w:pPr>
        <w:pStyle w:val="Nagwek4"/>
      </w:pPr>
      <w:bookmarkStart w:id="58" w:name="_Toc144205292"/>
      <w:r>
        <w:t xml:space="preserve">3.1. </w:t>
      </w:r>
      <w:r w:rsidR="00D511C2" w:rsidRPr="00603EE9">
        <w:t>Określenie założeń do analizy finansowej</w:t>
      </w:r>
      <w:bookmarkEnd w:id="57"/>
      <w:bookmarkEnd w:id="58"/>
    </w:p>
    <w:p w14:paraId="54EA1714" w14:textId="77777777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59" w:name="_Hlk129347808"/>
      <w:bookmarkStart w:id="60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59"/>
      <w:bookmarkEnd w:id="60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304338" w:rsidRPr="00A82A84">
        <w:rPr>
          <w:rFonts w:ascii="Calibri" w:hAnsi="Calibri" w:cs="Calibri"/>
          <w:sz w:val="22"/>
          <w:szCs w:val="22"/>
        </w:rPr>
        <w:t>.</w:t>
      </w:r>
    </w:p>
    <w:p w14:paraId="33844A22" w14:textId="77777777" w:rsidR="00591DBB" w:rsidRPr="00603EE9" w:rsidRDefault="008D58A1" w:rsidP="00E37701">
      <w:pPr>
        <w:pStyle w:val="Nagwek4"/>
      </w:pPr>
      <w:bookmarkStart w:id="61" w:name="_Toc140497422"/>
      <w:bookmarkStart w:id="62" w:name="_Toc144205293"/>
      <w:r>
        <w:t xml:space="preserve">3.2. </w:t>
      </w:r>
      <w:r w:rsidR="00510636" w:rsidRPr="00603EE9">
        <w:t>Analiza finansowa</w:t>
      </w:r>
      <w:bookmarkEnd w:id="61"/>
      <w:bookmarkEnd w:id="62"/>
    </w:p>
    <w:p w14:paraId="751CDB75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F1C00ED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205C73D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15D3EC2D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7E182641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7F807662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7E4A87A8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przepływów pieniężnych projektu</w:t>
      </w:r>
    </w:p>
    <w:p w14:paraId="0C43343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Wyliczenie </w:t>
      </w:r>
      <w:bookmarkStart w:id="63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63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</w:p>
    <w:p w14:paraId="0935EE88" w14:textId="58F1124B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750C89C1" w14:textId="77777777" w:rsidR="00F519DD" w:rsidRPr="00603EE9" w:rsidRDefault="008D58A1" w:rsidP="00E37701">
      <w:pPr>
        <w:pStyle w:val="Nagwek3"/>
        <w:spacing w:line="276" w:lineRule="auto"/>
      </w:pPr>
      <w:bookmarkStart w:id="64" w:name="_Toc140497423"/>
      <w:bookmarkStart w:id="65" w:name="_Toc144205294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64"/>
      <w:bookmarkEnd w:id="65"/>
    </w:p>
    <w:p w14:paraId="7D0DB3B6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6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7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7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68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68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6"/>
    </w:p>
    <w:p w14:paraId="11B43E0A" w14:textId="77777777" w:rsidR="00072293" w:rsidRPr="00355F7A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Dla projektów</w:t>
      </w:r>
      <w:r w:rsidR="00A82A84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A82A84" w:rsidRPr="00355F7A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jest równa lub większa od 50 mln złotych, </w:t>
      </w:r>
      <w:r w:rsidR="00D11D43" w:rsidRPr="00355F7A">
        <w:rPr>
          <w:rFonts w:ascii="Calibri" w:hAnsi="Calibri" w:cs="Calibri"/>
          <w:sz w:val="22"/>
          <w:szCs w:val="22"/>
        </w:rPr>
        <w:t>należy</w:t>
      </w:r>
      <w:r w:rsidRPr="00355F7A">
        <w:rPr>
          <w:rFonts w:ascii="Calibri" w:hAnsi="Calibri" w:cs="Calibri"/>
          <w:sz w:val="22"/>
          <w:szCs w:val="22"/>
        </w:rPr>
        <w:t xml:space="preserve"> </w:t>
      </w:r>
      <w:r w:rsidR="00D11D43" w:rsidRPr="00355F7A">
        <w:rPr>
          <w:rFonts w:ascii="Calibri" w:hAnsi="Calibri" w:cs="Calibri"/>
          <w:sz w:val="22"/>
          <w:szCs w:val="22"/>
        </w:rPr>
        <w:t xml:space="preserve">sporządzić analizę </w:t>
      </w:r>
      <w:r w:rsidR="007F7193" w:rsidRPr="00355F7A">
        <w:rPr>
          <w:rFonts w:ascii="Calibri" w:hAnsi="Calibri" w:cs="Calibri"/>
          <w:sz w:val="22"/>
          <w:szCs w:val="22"/>
        </w:rPr>
        <w:t xml:space="preserve">kosztów i korzyści w postaci </w:t>
      </w:r>
      <w:r w:rsidR="007F7193" w:rsidRPr="00355F7A">
        <w:rPr>
          <w:rFonts w:ascii="Calibri" w:hAnsi="Calibri" w:cs="Calibri"/>
          <w:sz w:val="22"/>
          <w:szCs w:val="22"/>
        </w:rPr>
        <w:lastRenderedPageBreak/>
        <w:t>a</w:t>
      </w:r>
      <w:r w:rsidRPr="00355F7A">
        <w:rPr>
          <w:rFonts w:ascii="Calibri" w:hAnsi="Calibri" w:cs="Calibri"/>
          <w:sz w:val="22"/>
          <w:szCs w:val="22"/>
        </w:rPr>
        <w:t>nalizy ekonomicznej</w:t>
      </w:r>
      <w:r w:rsidR="007F7193" w:rsidRPr="00355F7A">
        <w:rPr>
          <w:rFonts w:ascii="Calibri" w:hAnsi="Calibri" w:cs="Calibri"/>
          <w:sz w:val="22"/>
          <w:szCs w:val="22"/>
        </w:rPr>
        <w:t>,</w:t>
      </w:r>
      <w:r w:rsidRPr="00355F7A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355F7A">
        <w:rPr>
          <w:rFonts w:ascii="Calibri" w:hAnsi="Calibri" w:cs="Calibri"/>
          <w:sz w:val="22"/>
          <w:szCs w:val="22"/>
        </w:rPr>
        <w:t>.</w:t>
      </w:r>
      <w:r w:rsidR="00072293" w:rsidRPr="00355F7A">
        <w:rPr>
          <w:rFonts w:ascii="Calibri" w:hAnsi="Calibri" w:cs="Calibri"/>
          <w:sz w:val="22"/>
          <w:szCs w:val="22"/>
        </w:rPr>
        <w:t xml:space="preserve"> </w:t>
      </w:r>
      <w:bookmarkStart w:id="69" w:name="_Hlk130544050"/>
      <w:r w:rsidR="00072293" w:rsidRPr="00355F7A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69"/>
    </w:p>
    <w:p w14:paraId="4ABCAEEB" w14:textId="77777777" w:rsidR="00A82A84" w:rsidRPr="00355F7A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 xml:space="preserve">Dla pozostałych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355F7A">
        <w:rPr>
          <w:rFonts w:ascii="Calibri" w:hAnsi="Calibri" w:cs="Calibri"/>
          <w:sz w:val="22"/>
          <w:szCs w:val="22"/>
        </w:rPr>
        <w:t>FEP</w:t>
      </w:r>
      <w:r w:rsidR="00645F45" w:rsidRPr="00355F7A">
        <w:rPr>
          <w:rFonts w:ascii="Calibri" w:hAnsi="Calibri" w:cs="Calibri"/>
          <w:sz w:val="22"/>
          <w:szCs w:val="22"/>
        </w:rPr>
        <w:t xml:space="preserve"> </w:t>
      </w:r>
      <w:r w:rsidR="00685D72" w:rsidRPr="00355F7A">
        <w:rPr>
          <w:rFonts w:ascii="Calibri" w:hAnsi="Calibri" w:cs="Calibri"/>
          <w:sz w:val="22"/>
          <w:szCs w:val="22"/>
        </w:rPr>
        <w:t xml:space="preserve">2021-2027 </w:t>
      </w:r>
      <w:r w:rsidR="00645F45" w:rsidRPr="00355F7A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355F7A">
        <w:rPr>
          <w:rFonts w:ascii="Calibri" w:hAnsi="Calibri" w:cs="Calibri"/>
          <w:sz w:val="22"/>
          <w:szCs w:val="22"/>
        </w:rPr>
        <w:t>Rozdziałem 7</w:t>
      </w:r>
      <w:r w:rsidR="00645F45" w:rsidRPr="00355F7A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355F7A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355F7A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355F7A">
        <w:rPr>
          <w:rFonts w:ascii="Calibri" w:hAnsi="Calibri" w:cs="Calibri"/>
          <w:sz w:val="22"/>
          <w:szCs w:val="22"/>
        </w:rPr>
        <w:t xml:space="preserve">ich </w:t>
      </w:r>
      <w:r w:rsidR="00645F45" w:rsidRPr="00355F7A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355F7A">
        <w:rPr>
          <w:rFonts w:ascii="Calibri" w:hAnsi="Calibri" w:cs="Calibri"/>
          <w:sz w:val="22"/>
          <w:szCs w:val="22"/>
        </w:rPr>
        <w:t xml:space="preserve"> oraz </w:t>
      </w:r>
      <w:r w:rsidR="00645F45" w:rsidRPr="00355F7A">
        <w:rPr>
          <w:rFonts w:ascii="Calibri" w:hAnsi="Calibri" w:cs="Calibri"/>
          <w:sz w:val="22"/>
          <w:szCs w:val="22"/>
        </w:rPr>
        <w:t xml:space="preserve">społeczne </w:t>
      </w:r>
      <w:r w:rsidR="000B2729" w:rsidRPr="00355F7A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355F7A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355F7A">
        <w:rPr>
          <w:rFonts w:ascii="Calibri" w:hAnsi="Calibri" w:cs="Calibri"/>
          <w:sz w:val="22"/>
          <w:szCs w:val="22"/>
        </w:rPr>
        <w:t>.</w:t>
      </w:r>
      <w:bookmarkStart w:id="70" w:name="_Toc140497424"/>
    </w:p>
    <w:p w14:paraId="438F4A6F" w14:textId="77777777" w:rsidR="001B012E" w:rsidRPr="00355F7A" w:rsidRDefault="008D58A1" w:rsidP="00E37701">
      <w:pPr>
        <w:pStyle w:val="Nagwek3"/>
        <w:spacing w:line="276" w:lineRule="auto"/>
      </w:pPr>
      <w:bookmarkStart w:id="71" w:name="_Toc144205295"/>
      <w:r w:rsidRPr="00355F7A">
        <w:t xml:space="preserve">5. </w:t>
      </w:r>
      <w:r w:rsidR="001B012E" w:rsidRPr="00355F7A">
        <w:t>Analiza ryzyka i wrażliwości</w:t>
      </w:r>
      <w:bookmarkEnd w:id="70"/>
      <w:bookmarkEnd w:id="71"/>
    </w:p>
    <w:p w14:paraId="6B274EBA" w14:textId="77777777" w:rsidR="008927B2" w:rsidRPr="00355F7A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55F7A">
        <w:rPr>
          <w:rFonts w:ascii="Calibri" w:hAnsi="Calibri" w:cs="Calibri"/>
          <w:sz w:val="22"/>
          <w:szCs w:val="22"/>
        </w:rPr>
        <w:t>W przypadku projektów</w:t>
      </w:r>
      <w:r w:rsidR="00A82A84" w:rsidRPr="00355F7A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jest równa lub większa od 50 mln złotych, </w:t>
      </w:r>
      <w:r w:rsidRPr="00355F7A">
        <w:rPr>
          <w:rFonts w:ascii="Calibri" w:hAnsi="Calibri" w:cs="Calibri"/>
          <w:sz w:val="22"/>
          <w:szCs w:val="22"/>
        </w:rPr>
        <w:t>należy przeprowadzić o</w:t>
      </w:r>
      <w:r w:rsidR="008927B2" w:rsidRPr="00355F7A">
        <w:rPr>
          <w:rFonts w:ascii="Calibri" w:hAnsi="Calibri" w:cs="Calibri"/>
          <w:sz w:val="22"/>
          <w:szCs w:val="22"/>
        </w:rPr>
        <w:t>cenę ryzyka</w:t>
      </w:r>
      <w:r w:rsidR="00BD7EF5" w:rsidRPr="00355F7A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355F7A">
        <w:rPr>
          <w:rFonts w:ascii="Calibri" w:hAnsi="Calibri" w:cs="Calibri"/>
          <w:sz w:val="22"/>
          <w:szCs w:val="22"/>
        </w:rPr>
        <w:t xml:space="preserve"> </w:t>
      </w:r>
      <w:r w:rsidRPr="00355F7A">
        <w:rPr>
          <w:rFonts w:ascii="Calibri" w:hAnsi="Calibri" w:cs="Calibri"/>
          <w:sz w:val="22"/>
          <w:szCs w:val="22"/>
        </w:rPr>
        <w:t>zgodnie z</w:t>
      </w:r>
      <w:r w:rsidR="008927B2" w:rsidRPr="00355F7A">
        <w:rPr>
          <w:rFonts w:ascii="Calibri" w:hAnsi="Calibri" w:cs="Calibri"/>
          <w:sz w:val="22"/>
          <w:szCs w:val="22"/>
        </w:rPr>
        <w:t xml:space="preserve"> Rozdzia</w:t>
      </w:r>
      <w:r w:rsidRPr="00355F7A">
        <w:rPr>
          <w:rFonts w:ascii="Calibri" w:hAnsi="Calibri" w:cs="Calibri"/>
          <w:sz w:val="22"/>
          <w:szCs w:val="22"/>
        </w:rPr>
        <w:t>łem</w:t>
      </w:r>
      <w:r w:rsidR="008927B2" w:rsidRPr="00355F7A">
        <w:rPr>
          <w:rFonts w:ascii="Calibri" w:hAnsi="Calibri" w:cs="Calibri"/>
          <w:sz w:val="22"/>
          <w:szCs w:val="22"/>
        </w:rPr>
        <w:t xml:space="preserve"> 8. </w:t>
      </w:r>
      <w:r w:rsidR="00611924" w:rsidRPr="00355F7A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355F7A">
        <w:rPr>
          <w:rFonts w:ascii="Calibri" w:hAnsi="Calibri" w:cs="Calibri"/>
          <w:sz w:val="22"/>
          <w:szCs w:val="22"/>
        </w:rPr>
        <w:t>.</w:t>
      </w:r>
    </w:p>
    <w:p w14:paraId="5E041D92" w14:textId="77777777" w:rsidR="008927B2" w:rsidRPr="00A82A84" w:rsidRDefault="008927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p w14:paraId="5EEF485F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ED37" w14:textId="77777777" w:rsidR="00874CD5" w:rsidRDefault="00874CD5">
      <w:r>
        <w:separator/>
      </w:r>
    </w:p>
  </w:endnote>
  <w:endnote w:type="continuationSeparator" w:id="0">
    <w:p w14:paraId="332F20B3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A523" w14:textId="77777777" w:rsidR="00874CD5" w:rsidRDefault="00874CD5">
      <w:r>
        <w:separator/>
      </w:r>
    </w:p>
  </w:footnote>
  <w:footnote w:type="continuationSeparator" w:id="0">
    <w:p w14:paraId="5CA352E0" w14:textId="77777777" w:rsidR="00874CD5" w:rsidRDefault="00874CD5">
      <w:r>
        <w:continuationSeparator/>
      </w:r>
    </w:p>
  </w:footnote>
  <w:footnote w:id="1">
    <w:p w14:paraId="5153C4D7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4011B8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755C09BA" w14:textId="798EECB4" w:rsidR="00F668D3" w:rsidRPr="00452D50" w:rsidRDefault="00F668D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452D50">
        <w:rPr>
          <w:rFonts w:asciiTheme="minorHAnsi" w:hAnsiTheme="minorHAnsi" w:cstheme="minorHAnsi"/>
          <w:sz w:val="22"/>
          <w:szCs w:val="22"/>
        </w:rPr>
        <w:t>Jeśli w projekcie zidentyfikowano wystąpienie pomocy publicznej.</w:t>
      </w:r>
    </w:p>
  </w:footnote>
  <w:footnote w:id="3">
    <w:p w14:paraId="15B351C9" w14:textId="77777777" w:rsidR="00B04241" w:rsidRPr="00452D50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52D5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52D50">
        <w:rPr>
          <w:rFonts w:asciiTheme="minorHAnsi" w:hAnsiTheme="minorHAnsi" w:cstheme="minorHAnsi"/>
          <w:sz w:val="22"/>
          <w:szCs w:val="22"/>
        </w:rPr>
        <w:t xml:space="preserve"> The General Block Exemption Regulation – ogólne rozporządzenie w sprawie wyłączeń blokowych.</w:t>
      </w:r>
    </w:p>
  </w:footnote>
  <w:footnote w:id="4">
    <w:p w14:paraId="3F897BBE" w14:textId="3AD994E6" w:rsidR="007D3537" w:rsidRPr="007C6141" w:rsidRDefault="007D3537" w:rsidP="007C6141">
      <w:pPr>
        <w:pStyle w:val="Tekstprzypisudolnego"/>
        <w:jc w:val="left"/>
        <w:rPr>
          <w:rFonts w:ascii="Calibri" w:hAnsi="Calibri" w:cs="Calibr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BE7DB6" w:rsidRPr="007C6141">
        <w:rPr>
          <w:rFonts w:ascii="Calibri" w:hAnsi="Calibri" w:cs="Calibri"/>
          <w:sz w:val="22"/>
          <w:szCs w:val="22"/>
        </w:rPr>
        <w:t>Projekt dokumentu został przyjęty przez Radę Ministrów i jest dostępny pod adresem:</w:t>
      </w:r>
      <w:r w:rsidR="007C6141">
        <w:rPr>
          <w:rFonts w:ascii="Calibri" w:hAnsi="Calibri" w:cs="Calibri"/>
          <w:sz w:val="22"/>
          <w:szCs w:val="22"/>
        </w:rPr>
        <w:t xml:space="preserve"> </w:t>
      </w:r>
      <w:hyperlink r:id="rId2" w:history="1">
        <w:r w:rsidR="007C6141" w:rsidRPr="00E76577">
          <w:rPr>
            <w:rStyle w:val="Hipercze"/>
            <w:rFonts w:ascii="Calibri" w:hAnsi="Calibri" w:cs="Calibri"/>
            <w:sz w:val="22"/>
            <w:szCs w:val="22"/>
          </w:rPr>
          <w:t>https://www.gov.pl/web/rozwoj-technologia/rada-ministrowprzyjela-projekt-mapy-drogowej-goz</w:t>
        </w:r>
      </w:hyperlink>
      <w:r w:rsidR="007C6141">
        <w:rPr>
          <w:rFonts w:ascii="Calibri" w:hAnsi="Calibri" w:cs="Calibri"/>
          <w:sz w:val="22"/>
          <w:szCs w:val="22"/>
        </w:rPr>
        <w:t xml:space="preserve"> </w:t>
      </w:r>
    </w:p>
  </w:footnote>
  <w:footnote w:id="5">
    <w:p w14:paraId="1B555228" w14:textId="77777777" w:rsidR="00B04241" w:rsidRPr="003A0E3B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53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</w:t>
      </w:r>
      <w:r w:rsidRPr="003A0E3B">
        <w:rPr>
          <w:rFonts w:asciiTheme="minorHAnsi" w:hAnsiTheme="minorHAnsi" w:cstheme="minorHAnsi"/>
          <w:sz w:val="22"/>
          <w:szCs w:val="22"/>
        </w:rPr>
        <w:t xml:space="preserve">resem: </w:t>
      </w:r>
      <w:bookmarkEnd w:id="53"/>
      <w:r w:rsidRPr="003A0E3B">
        <w:rPr>
          <w:rFonts w:asciiTheme="minorHAnsi" w:hAnsiTheme="minorHAnsi" w:cstheme="minorHAnsi"/>
          <w:sz w:val="22"/>
          <w:szCs w:val="22"/>
        </w:rPr>
        <w:fldChar w:fldCharType="begin"/>
      </w:r>
      <w:r w:rsidRPr="003A0E3B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3A0E3B">
        <w:rPr>
          <w:rFonts w:asciiTheme="minorHAnsi" w:hAnsiTheme="minorHAnsi" w:cstheme="minorHAnsi"/>
          <w:sz w:val="22"/>
          <w:szCs w:val="22"/>
        </w:rPr>
        <w:fldChar w:fldCharType="separate"/>
      </w:r>
      <w:r w:rsidRPr="003A0E3B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3A0E3B">
        <w:rPr>
          <w:rFonts w:asciiTheme="minorHAnsi" w:hAnsiTheme="minorHAnsi" w:cstheme="minorHAnsi"/>
          <w:sz w:val="22"/>
          <w:szCs w:val="22"/>
        </w:rPr>
        <w:fldChar w:fldCharType="end"/>
      </w:r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6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3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7">
    <w:p w14:paraId="58E2295D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  <w:r w:rsidRPr="004011B8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4011B8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AE2"/>
    <w:multiLevelType w:val="hybridMultilevel"/>
    <w:tmpl w:val="4F7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C2EF1"/>
    <w:multiLevelType w:val="hybridMultilevel"/>
    <w:tmpl w:val="41D8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3C6F42"/>
    <w:multiLevelType w:val="hybridMultilevel"/>
    <w:tmpl w:val="F70AE25A"/>
    <w:lvl w:ilvl="0" w:tplc="FDE28C20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7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17B7"/>
    <w:multiLevelType w:val="hybridMultilevel"/>
    <w:tmpl w:val="12DA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6"/>
  </w:num>
  <w:num w:numId="5">
    <w:abstractNumId w:val="5"/>
  </w:num>
  <w:num w:numId="6">
    <w:abstractNumId w:val="1"/>
  </w:num>
  <w:num w:numId="7">
    <w:abstractNumId w:val="21"/>
  </w:num>
  <w:num w:numId="8">
    <w:abstractNumId w:val="9"/>
  </w:num>
  <w:num w:numId="9">
    <w:abstractNumId w:val="20"/>
  </w:num>
  <w:num w:numId="10">
    <w:abstractNumId w:val="16"/>
  </w:num>
  <w:num w:numId="11">
    <w:abstractNumId w:val="17"/>
  </w:num>
  <w:num w:numId="12">
    <w:abstractNumId w:val="14"/>
  </w:num>
  <w:num w:numId="13">
    <w:abstractNumId w:val="0"/>
  </w:num>
  <w:num w:numId="14">
    <w:abstractNumId w:val="23"/>
  </w:num>
  <w:num w:numId="15">
    <w:abstractNumId w:val="2"/>
  </w:num>
  <w:num w:numId="16">
    <w:abstractNumId w:val="4"/>
  </w:num>
  <w:num w:numId="17">
    <w:abstractNumId w:val="13"/>
  </w:num>
  <w:num w:numId="18">
    <w:abstractNumId w:val="25"/>
  </w:num>
  <w:num w:numId="19">
    <w:abstractNumId w:val="27"/>
  </w:num>
  <w:num w:numId="20">
    <w:abstractNumId w:val="19"/>
  </w:num>
  <w:num w:numId="21">
    <w:abstractNumId w:val="7"/>
  </w:num>
  <w:num w:numId="22">
    <w:abstractNumId w:val="8"/>
  </w:num>
  <w:num w:numId="23">
    <w:abstractNumId w:val="15"/>
  </w:num>
  <w:num w:numId="24">
    <w:abstractNumId w:val="11"/>
  </w:num>
  <w:num w:numId="25">
    <w:abstractNumId w:val="24"/>
  </w:num>
  <w:num w:numId="26">
    <w:abstractNumId w:val="3"/>
  </w:num>
  <w:num w:numId="27">
    <w:abstractNumId w:val="12"/>
  </w:num>
  <w:num w:numId="2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5946A69-D702-407C-9496-56CBB9FE9674}"/>
  </w:docVars>
  <w:rsids>
    <w:rsidRoot w:val="00175A9D"/>
    <w:rsid w:val="00002253"/>
    <w:rsid w:val="000023F5"/>
    <w:rsid w:val="00002F6F"/>
    <w:rsid w:val="0000439B"/>
    <w:rsid w:val="00006A62"/>
    <w:rsid w:val="00011FA8"/>
    <w:rsid w:val="000137C7"/>
    <w:rsid w:val="00015D02"/>
    <w:rsid w:val="000177B4"/>
    <w:rsid w:val="000241F1"/>
    <w:rsid w:val="00025FAA"/>
    <w:rsid w:val="000307AD"/>
    <w:rsid w:val="000315B3"/>
    <w:rsid w:val="00040B5B"/>
    <w:rsid w:val="0004120D"/>
    <w:rsid w:val="000429A4"/>
    <w:rsid w:val="00044443"/>
    <w:rsid w:val="00044592"/>
    <w:rsid w:val="00051D94"/>
    <w:rsid w:val="00052DB9"/>
    <w:rsid w:val="00054F1B"/>
    <w:rsid w:val="00056F93"/>
    <w:rsid w:val="0006129C"/>
    <w:rsid w:val="00062573"/>
    <w:rsid w:val="00062F61"/>
    <w:rsid w:val="000636F9"/>
    <w:rsid w:val="0006572F"/>
    <w:rsid w:val="0006760E"/>
    <w:rsid w:val="0007086B"/>
    <w:rsid w:val="00072293"/>
    <w:rsid w:val="00073004"/>
    <w:rsid w:val="000825C9"/>
    <w:rsid w:val="00082F68"/>
    <w:rsid w:val="00085845"/>
    <w:rsid w:val="0008661E"/>
    <w:rsid w:val="00094DAA"/>
    <w:rsid w:val="00096F2E"/>
    <w:rsid w:val="000A156A"/>
    <w:rsid w:val="000A3837"/>
    <w:rsid w:val="000A3ED6"/>
    <w:rsid w:val="000B2729"/>
    <w:rsid w:val="000B2734"/>
    <w:rsid w:val="000B6C4B"/>
    <w:rsid w:val="000C1351"/>
    <w:rsid w:val="000C1EC3"/>
    <w:rsid w:val="000C4F27"/>
    <w:rsid w:val="000C6B78"/>
    <w:rsid w:val="000D4C01"/>
    <w:rsid w:val="000E40E1"/>
    <w:rsid w:val="000E4C68"/>
    <w:rsid w:val="000F181D"/>
    <w:rsid w:val="000F4CFF"/>
    <w:rsid w:val="00101DEE"/>
    <w:rsid w:val="001060E2"/>
    <w:rsid w:val="001119BC"/>
    <w:rsid w:val="00112623"/>
    <w:rsid w:val="0011278B"/>
    <w:rsid w:val="0011481A"/>
    <w:rsid w:val="001172E2"/>
    <w:rsid w:val="0012321D"/>
    <w:rsid w:val="0012654F"/>
    <w:rsid w:val="00127110"/>
    <w:rsid w:val="001315B6"/>
    <w:rsid w:val="00132FDA"/>
    <w:rsid w:val="00134FCA"/>
    <w:rsid w:val="001459BD"/>
    <w:rsid w:val="00145A6F"/>
    <w:rsid w:val="00150401"/>
    <w:rsid w:val="00153C4C"/>
    <w:rsid w:val="001577E4"/>
    <w:rsid w:val="00160B44"/>
    <w:rsid w:val="001633EF"/>
    <w:rsid w:val="00166D14"/>
    <w:rsid w:val="001744AA"/>
    <w:rsid w:val="0017568E"/>
    <w:rsid w:val="00175A9D"/>
    <w:rsid w:val="00185962"/>
    <w:rsid w:val="00190A3C"/>
    <w:rsid w:val="00193B1C"/>
    <w:rsid w:val="00195A4D"/>
    <w:rsid w:val="001A05DE"/>
    <w:rsid w:val="001A1B0A"/>
    <w:rsid w:val="001A22AE"/>
    <w:rsid w:val="001A284F"/>
    <w:rsid w:val="001B012E"/>
    <w:rsid w:val="001B1418"/>
    <w:rsid w:val="001B2480"/>
    <w:rsid w:val="001C016F"/>
    <w:rsid w:val="001C03F2"/>
    <w:rsid w:val="001C6A65"/>
    <w:rsid w:val="001D5320"/>
    <w:rsid w:val="001D5C74"/>
    <w:rsid w:val="001E0C0A"/>
    <w:rsid w:val="001E14BC"/>
    <w:rsid w:val="001E1E9D"/>
    <w:rsid w:val="001F10FA"/>
    <w:rsid w:val="001F2EF9"/>
    <w:rsid w:val="001F3B11"/>
    <w:rsid w:val="001F69C2"/>
    <w:rsid w:val="001F7408"/>
    <w:rsid w:val="002024A3"/>
    <w:rsid w:val="0020258C"/>
    <w:rsid w:val="0020298C"/>
    <w:rsid w:val="00203568"/>
    <w:rsid w:val="00205BBC"/>
    <w:rsid w:val="002102A4"/>
    <w:rsid w:val="002151EF"/>
    <w:rsid w:val="00216929"/>
    <w:rsid w:val="002209A6"/>
    <w:rsid w:val="00224EDF"/>
    <w:rsid w:val="002252C8"/>
    <w:rsid w:val="0022560C"/>
    <w:rsid w:val="00227148"/>
    <w:rsid w:val="00231E72"/>
    <w:rsid w:val="002362DA"/>
    <w:rsid w:val="00236583"/>
    <w:rsid w:val="00236F29"/>
    <w:rsid w:val="0024657A"/>
    <w:rsid w:val="00250D26"/>
    <w:rsid w:val="0025125D"/>
    <w:rsid w:val="00253D01"/>
    <w:rsid w:val="00255069"/>
    <w:rsid w:val="00257DA9"/>
    <w:rsid w:val="00260A4C"/>
    <w:rsid w:val="00264248"/>
    <w:rsid w:val="002744FA"/>
    <w:rsid w:val="002766FC"/>
    <w:rsid w:val="00276AFC"/>
    <w:rsid w:val="00276E17"/>
    <w:rsid w:val="002773CA"/>
    <w:rsid w:val="00280B06"/>
    <w:rsid w:val="00280C80"/>
    <w:rsid w:val="00284E0B"/>
    <w:rsid w:val="00291546"/>
    <w:rsid w:val="00291BE6"/>
    <w:rsid w:val="002966CD"/>
    <w:rsid w:val="002A0353"/>
    <w:rsid w:val="002A39AA"/>
    <w:rsid w:val="002A43B2"/>
    <w:rsid w:val="002A4916"/>
    <w:rsid w:val="002B01A2"/>
    <w:rsid w:val="002B42F5"/>
    <w:rsid w:val="002B4830"/>
    <w:rsid w:val="002C1767"/>
    <w:rsid w:val="002C39DD"/>
    <w:rsid w:val="002C4CA2"/>
    <w:rsid w:val="002D681B"/>
    <w:rsid w:val="002D763E"/>
    <w:rsid w:val="002D78FD"/>
    <w:rsid w:val="002E349A"/>
    <w:rsid w:val="002E4B32"/>
    <w:rsid w:val="002E6B89"/>
    <w:rsid w:val="002E7F95"/>
    <w:rsid w:val="002F3100"/>
    <w:rsid w:val="002F3123"/>
    <w:rsid w:val="002F5C3D"/>
    <w:rsid w:val="002F64A3"/>
    <w:rsid w:val="002F6EE5"/>
    <w:rsid w:val="00300FE2"/>
    <w:rsid w:val="00302801"/>
    <w:rsid w:val="00304338"/>
    <w:rsid w:val="00311C1E"/>
    <w:rsid w:val="0031252F"/>
    <w:rsid w:val="00320394"/>
    <w:rsid w:val="003246E4"/>
    <w:rsid w:val="00324775"/>
    <w:rsid w:val="00331960"/>
    <w:rsid w:val="00332485"/>
    <w:rsid w:val="003351AA"/>
    <w:rsid w:val="00340031"/>
    <w:rsid w:val="00347B16"/>
    <w:rsid w:val="003505AC"/>
    <w:rsid w:val="00351C4A"/>
    <w:rsid w:val="00355F7A"/>
    <w:rsid w:val="00360278"/>
    <w:rsid w:val="00364B13"/>
    <w:rsid w:val="00371228"/>
    <w:rsid w:val="00373AA1"/>
    <w:rsid w:val="003773F0"/>
    <w:rsid w:val="00381482"/>
    <w:rsid w:val="00381CA4"/>
    <w:rsid w:val="00383A85"/>
    <w:rsid w:val="00387A02"/>
    <w:rsid w:val="0039008F"/>
    <w:rsid w:val="00392515"/>
    <w:rsid w:val="00394C69"/>
    <w:rsid w:val="00395C71"/>
    <w:rsid w:val="003963E4"/>
    <w:rsid w:val="003967D3"/>
    <w:rsid w:val="00397529"/>
    <w:rsid w:val="003A0E3B"/>
    <w:rsid w:val="003A4AE9"/>
    <w:rsid w:val="003A7AFD"/>
    <w:rsid w:val="003B3918"/>
    <w:rsid w:val="003B48BC"/>
    <w:rsid w:val="003B7266"/>
    <w:rsid w:val="003C0A08"/>
    <w:rsid w:val="003C125D"/>
    <w:rsid w:val="003C36EF"/>
    <w:rsid w:val="003C562B"/>
    <w:rsid w:val="003C5C31"/>
    <w:rsid w:val="003C6EC3"/>
    <w:rsid w:val="003D1E45"/>
    <w:rsid w:val="003D36F1"/>
    <w:rsid w:val="003D4B15"/>
    <w:rsid w:val="003D5557"/>
    <w:rsid w:val="003D69AB"/>
    <w:rsid w:val="003D6CA8"/>
    <w:rsid w:val="003E2328"/>
    <w:rsid w:val="003E243E"/>
    <w:rsid w:val="003E6CAB"/>
    <w:rsid w:val="003F1336"/>
    <w:rsid w:val="004011B8"/>
    <w:rsid w:val="004047ED"/>
    <w:rsid w:val="0040529E"/>
    <w:rsid w:val="00405CE5"/>
    <w:rsid w:val="0041182A"/>
    <w:rsid w:val="0041320A"/>
    <w:rsid w:val="0041333C"/>
    <w:rsid w:val="00417E33"/>
    <w:rsid w:val="00422FC4"/>
    <w:rsid w:val="00430F79"/>
    <w:rsid w:val="00432D0B"/>
    <w:rsid w:val="004333FD"/>
    <w:rsid w:val="0043345D"/>
    <w:rsid w:val="00433796"/>
    <w:rsid w:val="00433F2A"/>
    <w:rsid w:val="00435314"/>
    <w:rsid w:val="00440AE0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5272F"/>
    <w:rsid w:val="00452D50"/>
    <w:rsid w:val="0046110A"/>
    <w:rsid w:val="004674D3"/>
    <w:rsid w:val="0047008A"/>
    <w:rsid w:val="004738E7"/>
    <w:rsid w:val="00476B6B"/>
    <w:rsid w:val="004775C0"/>
    <w:rsid w:val="0048208C"/>
    <w:rsid w:val="00482C5F"/>
    <w:rsid w:val="00483BBF"/>
    <w:rsid w:val="0048459F"/>
    <w:rsid w:val="00486AD4"/>
    <w:rsid w:val="00487FB5"/>
    <w:rsid w:val="00490A86"/>
    <w:rsid w:val="00491561"/>
    <w:rsid w:val="00492897"/>
    <w:rsid w:val="00497BD9"/>
    <w:rsid w:val="004A16E9"/>
    <w:rsid w:val="004A2B5B"/>
    <w:rsid w:val="004A2E1C"/>
    <w:rsid w:val="004B35FA"/>
    <w:rsid w:val="004B36E0"/>
    <w:rsid w:val="004B3854"/>
    <w:rsid w:val="004B3A9B"/>
    <w:rsid w:val="004B44E2"/>
    <w:rsid w:val="004B45C9"/>
    <w:rsid w:val="004B6872"/>
    <w:rsid w:val="004C0CEA"/>
    <w:rsid w:val="004C1CFF"/>
    <w:rsid w:val="004C3336"/>
    <w:rsid w:val="004C4F7A"/>
    <w:rsid w:val="004C54F1"/>
    <w:rsid w:val="004C70BA"/>
    <w:rsid w:val="004C7E2C"/>
    <w:rsid w:val="004D7FE3"/>
    <w:rsid w:val="004E111D"/>
    <w:rsid w:val="004E2FB5"/>
    <w:rsid w:val="004E7F56"/>
    <w:rsid w:val="004F37BD"/>
    <w:rsid w:val="004F3CC6"/>
    <w:rsid w:val="004F737F"/>
    <w:rsid w:val="005007DB"/>
    <w:rsid w:val="0050214F"/>
    <w:rsid w:val="00502296"/>
    <w:rsid w:val="00502FF6"/>
    <w:rsid w:val="00510636"/>
    <w:rsid w:val="00510778"/>
    <w:rsid w:val="005118EB"/>
    <w:rsid w:val="00513DB3"/>
    <w:rsid w:val="005163F6"/>
    <w:rsid w:val="005217A7"/>
    <w:rsid w:val="005245A3"/>
    <w:rsid w:val="0052511B"/>
    <w:rsid w:val="0052718A"/>
    <w:rsid w:val="005341A7"/>
    <w:rsid w:val="00535D01"/>
    <w:rsid w:val="0053625C"/>
    <w:rsid w:val="00541D8C"/>
    <w:rsid w:val="00542FA3"/>
    <w:rsid w:val="00543297"/>
    <w:rsid w:val="00543638"/>
    <w:rsid w:val="0055145D"/>
    <w:rsid w:val="00551D27"/>
    <w:rsid w:val="00553A07"/>
    <w:rsid w:val="005557A7"/>
    <w:rsid w:val="00555961"/>
    <w:rsid w:val="00562BE5"/>
    <w:rsid w:val="00563021"/>
    <w:rsid w:val="0056543C"/>
    <w:rsid w:val="005655A1"/>
    <w:rsid w:val="00573895"/>
    <w:rsid w:val="00574116"/>
    <w:rsid w:val="0057661F"/>
    <w:rsid w:val="00580CFF"/>
    <w:rsid w:val="00582016"/>
    <w:rsid w:val="005827FA"/>
    <w:rsid w:val="005846AC"/>
    <w:rsid w:val="00584FE7"/>
    <w:rsid w:val="00585A74"/>
    <w:rsid w:val="00587C76"/>
    <w:rsid w:val="00587F6D"/>
    <w:rsid w:val="00591397"/>
    <w:rsid w:val="00591DBB"/>
    <w:rsid w:val="00592ABC"/>
    <w:rsid w:val="00595164"/>
    <w:rsid w:val="00595DD0"/>
    <w:rsid w:val="005964D4"/>
    <w:rsid w:val="005A0E16"/>
    <w:rsid w:val="005A2BE9"/>
    <w:rsid w:val="005A33C8"/>
    <w:rsid w:val="005A405C"/>
    <w:rsid w:val="005A7050"/>
    <w:rsid w:val="005A778C"/>
    <w:rsid w:val="005B0ED4"/>
    <w:rsid w:val="005B2158"/>
    <w:rsid w:val="005B63D0"/>
    <w:rsid w:val="005B6EC7"/>
    <w:rsid w:val="005C185E"/>
    <w:rsid w:val="005C5757"/>
    <w:rsid w:val="005C6298"/>
    <w:rsid w:val="005C7026"/>
    <w:rsid w:val="005D3B78"/>
    <w:rsid w:val="005D4CF3"/>
    <w:rsid w:val="005E2183"/>
    <w:rsid w:val="005E6CD4"/>
    <w:rsid w:val="005E7AD9"/>
    <w:rsid w:val="005F416F"/>
    <w:rsid w:val="005F4939"/>
    <w:rsid w:val="005F5463"/>
    <w:rsid w:val="005F71A3"/>
    <w:rsid w:val="006004EF"/>
    <w:rsid w:val="00603EE9"/>
    <w:rsid w:val="00606188"/>
    <w:rsid w:val="00606199"/>
    <w:rsid w:val="00607EDD"/>
    <w:rsid w:val="0061089B"/>
    <w:rsid w:val="00610D68"/>
    <w:rsid w:val="00611924"/>
    <w:rsid w:val="006220D5"/>
    <w:rsid w:val="00625768"/>
    <w:rsid w:val="00630F07"/>
    <w:rsid w:val="00632241"/>
    <w:rsid w:val="0063568B"/>
    <w:rsid w:val="00635CA5"/>
    <w:rsid w:val="00637519"/>
    <w:rsid w:val="006400E3"/>
    <w:rsid w:val="006415EB"/>
    <w:rsid w:val="00642197"/>
    <w:rsid w:val="00643DCB"/>
    <w:rsid w:val="00645F45"/>
    <w:rsid w:val="006531E7"/>
    <w:rsid w:val="006552CC"/>
    <w:rsid w:val="00657B8C"/>
    <w:rsid w:val="00660402"/>
    <w:rsid w:val="00663EAB"/>
    <w:rsid w:val="00666D66"/>
    <w:rsid w:val="006712C7"/>
    <w:rsid w:val="00671C1F"/>
    <w:rsid w:val="0067407F"/>
    <w:rsid w:val="00675D47"/>
    <w:rsid w:val="00676ED8"/>
    <w:rsid w:val="00682790"/>
    <w:rsid w:val="00685D72"/>
    <w:rsid w:val="00686C7F"/>
    <w:rsid w:val="00694226"/>
    <w:rsid w:val="006953EB"/>
    <w:rsid w:val="0069772C"/>
    <w:rsid w:val="006A5A5E"/>
    <w:rsid w:val="006A5DCB"/>
    <w:rsid w:val="006A63B8"/>
    <w:rsid w:val="006B038F"/>
    <w:rsid w:val="006B0C51"/>
    <w:rsid w:val="006B330E"/>
    <w:rsid w:val="006C1460"/>
    <w:rsid w:val="006C2D87"/>
    <w:rsid w:val="006D0400"/>
    <w:rsid w:val="006D49AD"/>
    <w:rsid w:val="006D7914"/>
    <w:rsid w:val="006E3D34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73D2"/>
    <w:rsid w:val="007222A2"/>
    <w:rsid w:val="00722C74"/>
    <w:rsid w:val="00724C29"/>
    <w:rsid w:val="00726453"/>
    <w:rsid w:val="0072764A"/>
    <w:rsid w:val="00733C4A"/>
    <w:rsid w:val="00733D9A"/>
    <w:rsid w:val="0073539E"/>
    <w:rsid w:val="00736291"/>
    <w:rsid w:val="00736640"/>
    <w:rsid w:val="00743CF1"/>
    <w:rsid w:val="00744FAB"/>
    <w:rsid w:val="007477BB"/>
    <w:rsid w:val="007505EF"/>
    <w:rsid w:val="007550B7"/>
    <w:rsid w:val="00760EE6"/>
    <w:rsid w:val="00761834"/>
    <w:rsid w:val="00764600"/>
    <w:rsid w:val="00765AAD"/>
    <w:rsid w:val="0076698D"/>
    <w:rsid w:val="0077199D"/>
    <w:rsid w:val="00776684"/>
    <w:rsid w:val="00777DCC"/>
    <w:rsid w:val="00787E5D"/>
    <w:rsid w:val="0079054D"/>
    <w:rsid w:val="00791026"/>
    <w:rsid w:val="00796126"/>
    <w:rsid w:val="00796A88"/>
    <w:rsid w:val="007A083B"/>
    <w:rsid w:val="007A682C"/>
    <w:rsid w:val="007A7155"/>
    <w:rsid w:val="007B2200"/>
    <w:rsid w:val="007B3722"/>
    <w:rsid w:val="007B4B0D"/>
    <w:rsid w:val="007B4BC2"/>
    <w:rsid w:val="007B6614"/>
    <w:rsid w:val="007B688D"/>
    <w:rsid w:val="007C6141"/>
    <w:rsid w:val="007D3537"/>
    <w:rsid w:val="007D3F8B"/>
    <w:rsid w:val="007D412E"/>
    <w:rsid w:val="007D53EB"/>
    <w:rsid w:val="007D7546"/>
    <w:rsid w:val="007E08AC"/>
    <w:rsid w:val="007E6229"/>
    <w:rsid w:val="007E7786"/>
    <w:rsid w:val="007E78FA"/>
    <w:rsid w:val="007F0A47"/>
    <w:rsid w:val="007F1DC1"/>
    <w:rsid w:val="007F2BFC"/>
    <w:rsid w:val="007F7193"/>
    <w:rsid w:val="008011FD"/>
    <w:rsid w:val="00801A69"/>
    <w:rsid w:val="00803EF9"/>
    <w:rsid w:val="008077EC"/>
    <w:rsid w:val="008107CD"/>
    <w:rsid w:val="00810ABB"/>
    <w:rsid w:val="008149E2"/>
    <w:rsid w:val="00820C30"/>
    <w:rsid w:val="0082116A"/>
    <w:rsid w:val="008223D9"/>
    <w:rsid w:val="00823B64"/>
    <w:rsid w:val="008261EB"/>
    <w:rsid w:val="00831FE5"/>
    <w:rsid w:val="00840276"/>
    <w:rsid w:val="0084032B"/>
    <w:rsid w:val="008556B4"/>
    <w:rsid w:val="008625C6"/>
    <w:rsid w:val="00864459"/>
    <w:rsid w:val="008654FD"/>
    <w:rsid w:val="00866CEA"/>
    <w:rsid w:val="0087127A"/>
    <w:rsid w:val="0087181F"/>
    <w:rsid w:val="008728EB"/>
    <w:rsid w:val="00873463"/>
    <w:rsid w:val="00874CD5"/>
    <w:rsid w:val="00874E08"/>
    <w:rsid w:val="00877838"/>
    <w:rsid w:val="00877E6B"/>
    <w:rsid w:val="00884A36"/>
    <w:rsid w:val="00891FA3"/>
    <w:rsid w:val="0089254B"/>
    <w:rsid w:val="008927B2"/>
    <w:rsid w:val="008950C1"/>
    <w:rsid w:val="008A033E"/>
    <w:rsid w:val="008A317A"/>
    <w:rsid w:val="008A3ADD"/>
    <w:rsid w:val="008A53FE"/>
    <w:rsid w:val="008B3673"/>
    <w:rsid w:val="008B4A7C"/>
    <w:rsid w:val="008B4D53"/>
    <w:rsid w:val="008B522C"/>
    <w:rsid w:val="008B5E52"/>
    <w:rsid w:val="008B6B13"/>
    <w:rsid w:val="008B7490"/>
    <w:rsid w:val="008C2AD4"/>
    <w:rsid w:val="008C7176"/>
    <w:rsid w:val="008D25B0"/>
    <w:rsid w:val="008D3EDA"/>
    <w:rsid w:val="008D58A1"/>
    <w:rsid w:val="008D6A54"/>
    <w:rsid w:val="008E535D"/>
    <w:rsid w:val="008E6B2C"/>
    <w:rsid w:val="008F063D"/>
    <w:rsid w:val="008F1E38"/>
    <w:rsid w:val="008F218F"/>
    <w:rsid w:val="008F28DF"/>
    <w:rsid w:val="008F3BE5"/>
    <w:rsid w:val="008F472B"/>
    <w:rsid w:val="008F473B"/>
    <w:rsid w:val="008F75E0"/>
    <w:rsid w:val="009033D1"/>
    <w:rsid w:val="00903FA6"/>
    <w:rsid w:val="009051E9"/>
    <w:rsid w:val="009077B9"/>
    <w:rsid w:val="00912513"/>
    <w:rsid w:val="009134DB"/>
    <w:rsid w:val="0091530B"/>
    <w:rsid w:val="00924115"/>
    <w:rsid w:val="009348CD"/>
    <w:rsid w:val="00936930"/>
    <w:rsid w:val="00936AB8"/>
    <w:rsid w:val="00941FD6"/>
    <w:rsid w:val="00946687"/>
    <w:rsid w:val="009505D9"/>
    <w:rsid w:val="00950DC6"/>
    <w:rsid w:val="00951527"/>
    <w:rsid w:val="00957D29"/>
    <w:rsid w:val="009621A5"/>
    <w:rsid w:val="00963761"/>
    <w:rsid w:val="009678FA"/>
    <w:rsid w:val="0097338B"/>
    <w:rsid w:val="00975EBD"/>
    <w:rsid w:val="00977066"/>
    <w:rsid w:val="009801FB"/>
    <w:rsid w:val="00984BCF"/>
    <w:rsid w:val="00984E64"/>
    <w:rsid w:val="009868CB"/>
    <w:rsid w:val="00986B87"/>
    <w:rsid w:val="009A07A0"/>
    <w:rsid w:val="009A2012"/>
    <w:rsid w:val="009A3B97"/>
    <w:rsid w:val="009A767D"/>
    <w:rsid w:val="009B16FB"/>
    <w:rsid w:val="009C0C52"/>
    <w:rsid w:val="009C5898"/>
    <w:rsid w:val="009C6C2A"/>
    <w:rsid w:val="009C6E3A"/>
    <w:rsid w:val="009C788F"/>
    <w:rsid w:val="009E1A58"/>
    <w:rsid w:val="009E522A"/>
    <w:rsid w:val="009E6DF5"/>
    <w:rsid w:val="009F1646"/>
    <w:rsid w:val="009F3FBC"/>
    <w:rsid w:val="009F4257"/>
    <w:rsid w:val="009F5ABC"/>
    <w:rsid w:val="009F71DC"/>
    <w:rsid w:val="00A032E7"/>
    <w:rsid w:val="00A03F44"/>
    <w:rsid w:val="00A054B5"/>
    <w:rsid w:val="00A073FB"/>
    <w:rsid w:val="00A10134"/>
    <w:rsid w:val="00A10866"/>
    <w:rsid w:val="00A11081"/>
    <w:rsid w:val="00A1157F"/>
    <w:rsid w:val="00A24E42"/>
    <w:rsid w:val="00A251AA"/>
    <w:rsid w:val="00A25DAE"/>
    <w:rsid w:val="00A265CE"/>
    <w:rsid w:val="00A273F7"/>
    <w:rsid w:val="00A27E7D"/>
    <w:rsid w:val="00A30791"/>
    <w:rsid w:val="00A32097"/>
    <w:rsid w:val="00A3588E"/>
    <w:rsid w:val="00A41D80"/>
    <w:rsid w:val="00A44021"/>
    <w:rsid w:val="00A46DBD"/>
    <w:rsid w:val="00A50517"/>
    <w:rsid w:val="00A51DCF"/>
    <w:rsid w:val="00A51FCF"/>
    <w:rsid w:val="00A53AFF"/>
    <w:rsid w:val="00A54DA7"/>
    <w:rsid w:val="00A54E27"/>
    <w:rsid w:val="00A65B4F"/>
    <w:rsid w:val="00A67BA3"/>
    <w:rsid w:val="00A71E31"/>
    <w:rsid w:val="00A72B19"/>
    <w:rsid w:val="00A73A3D"/>
    <w:rsid w:val="00A75910"/>
    <w:rsid w:val="00A768AE"/>
    <w:rsid w:val="00A76E4B"/>
    <w:rsid w:val="00A777CB"/>
    <w:rsid w:val="00A77E2F"/>
    <w:rsid w:val="00A82A84"/>
    <w:rsid w:val="00A82D27"/>
    <w:rsid w:val="00A84983"/>
    <w:rsid w:val="00A879D7"/>
    <w:rsid w:val="00A97A8F"/>
    <w:rsid w:val="00A97D6D"/>
    <w:rsid w:val="00AA11F9"/>
    <w:rsid w:val="00AA686D"/>
    <w:rsid w:val="00AA6A41"/>
    <w:rsid w:val="00AB5237"/>
    <w:rsid w:val="00AC0B5D"/>
    <w:rsid w:val="00AC29D7"/>
    <w:rsid w:val="00AC3F79"/>
    <w:rsid w:val="00AD11FE"/>
    <w:rsid w:val="00AD37C9"/>
    <w:rsid w:val="00AD6A57"/>
    <w:rsid w:val="00AE03C7"/>
    <w:rsid w:val="00AE1F1F"/>
    <w:rsid w:val="00AE3DEA"/>
    <w:rsid w:val="00AE4C25"/>
    <w:rsid w:val="00AE54F7"/>
    <w:rsid w:val="00AE6581"/>
    <w:rsid w:val="00AF05A2"/>
    <w:rsid w:val="00AF0E9D"/>
    <w:rsid w:val="00AF2EC8"/>
    <w:rsid w:val="00B005AD"/>
    <w:rsid w:val="00B033EF"/>
    <w:rsid w:val="00B04241"/>
    <w:rsid w:val="00B04AD3"/>
    <w:rsid w:val="00B07272"/>
    <w:rsid w:val="00B1099A"/>
    <w:rsid w:val="00B22D72"/>
    <w:rsid w:val="00B27A20"/>
    <w:rsid w:val="00B338AE"/>
    <w:rsid w:val="00B34232"/>
    <w:rsid w:val="00B344C0"/>
    <w:rsid w:val="00B36BFD"/>
    <w:rsid w:val="00B3768A"/>
    <w:rsid w:val="00B37FAF"/>
    <w:rsid w:val="00B41AD3"/>
    <w:rsid w:val="00B42C1B"/>
    <w:rsid w:val="00B45662"/>
    <w:rsid w:val="00B50194"/>
    <w:rsid w:val="00B509CF"/>
    <w:rsid w:val="00B50AE9"/>
    <w:rsid w:val="00B5253B"/>
    <w:rsid w:val="00B57D2B"/>
    <w:rsid w:val="00B60E42"/>
    <w:rsid w:val="00B61358"/>
    <w:rsid w:val="00B627FF"/>
    <w:rsid w:val="00B66534"/>
    <w:rsid w:val="00B66870"/>
    <w:rsid w:val="00B671EE"/>
    <w:rsid w:val="00B70FB5"/>
    <w:rsid w:val="00B73E5E"/>
    <w:rsid w:val="00B76446"/>
    <w:rsid w:val="00B77B0B"/>
    <w:rsid w:val="00B77EB2"/>
    <w:rsid w:val="00B80790"/>
    <w:rsid w:val="00B81C23"/>
    <w:rsid w:val="00B826F1"/>
    <w:rsid w:val="00B8478F"/>
    <w:rsid w:val="00B87EB9"/>
    <w:rsid w:val="00B900B2"/>
    <w:rsid w:val="00B918AC"/>
    <w:rsid w:val="00B91985"/>
    <w:rsid w:val="00B91EA1"/>
    <w:rsid w:val="00B976AE"/>
    <w:rsid w:val="00BA4DF5"/>
    <w:rsid w:val="00BA6938"/>
    <w:rsid w:val="00BB118D"/>
    <w:rsid w:val="00BB1474"/>
    <w:rsid w:val="00BB4F05"/>
    <w:rsid w:val="00BB5389"/>
    <w:rsid w:val="00BB5FD4"/>
    <w:rsid w:val="00BB686A"/>
    <w:rsid w:val="00BC6C68"/>
    <w:rsid w:val="00BD40A1"/>
    <w:rsid w:val="00BD6947"/>
    <w:rsid w:val="00BD7EF5"/>
    <w:rsid w:val="00BE0A03"/>
    <w:rsid w:val="00BE0E54"/>
    <w:rsid w:val="00BE25C3"/>
    <w:rsid w:val="00BE6008"/>
    <w:rsid w:val="00BE7DB6"/>
    <w:rsid w:val="00BF2B34"/>
    <w:rsid w:val="00BF75AB"/>
    <w:rsid w:val="00C02732"/>
    <w:rsid w:val="00C028DA"/>
    <w:rsid w:val="00C02CD4"/>
    <w:rsid w:val="00C103B0"/>
    <w:rsid w:val="00C10F32"/>
    <w:rsid w:val="00C11CCF"/>
    <w:rsid w:val="00C13288"/>
    <w:rsid w:val="00C1397D"/>
    <w:rsid w:val="00C16E07"/>
    <w:rsid w:val="00C17F02"/>
    <w:rsid w:val="00C21B2C"/>
    <w:rsid w:val="00C23244"/>
    <w:rsid w:val="00C23EFE"/>
    <w:rsid w:val="00C27C4E"/>
    <w:rsid w:val="00C34F1B"/>
    <w:rsid w:val="00C364E4"/>
    <w:rsid w:val="00C41A42"/>
    <w:rsid w:val="00C4209B"/>
    <w:rsid w:val="00C42E8D"/>
    <w:rsid w:val="00C44EDF"/>
    <w:rsid w:val="00C57A71"/>
    <w:rsid w:val="00C61A11"/>
    <w:rsid w:val="00C62BB9"/>
    <w:rsid w:val="00C6535E"/>
    <w:rsid w:val="00C65F96"/>
    <w:rsid w:val="00C76B21"/>
    <w:rsid w:val="00C76F02"/>
    <w:rsid w:val="00C7701A"/>
    <w:rsid w:val="00C77080"/>
    <w:rsid w:val="00C80CF7"/>
    <w:rsid w:val="00C83246"/>
    <w:rsid w:val="00C83E5D"/>
    <w:rsid w:val="00C85D48"/>
    <w:rsid w:val="00C915BA"/>
    <w:rsid w:val="00C96CFA"/>
    <w:rsid w:val="00CA6693"/>
    <w:rsid w:val="00CB1C9A"/>
    <w:rsid w:val="00CB60F2"/>
    <w:rsid w:val="00CB691D"/>
    <w:rsid w:val="00CC03D6"/>
    <w:rsid w:val="00CC3EDC"/>
    <w:rsid w:val="00CC4380"/>
    <w:rsid w:val="00CC4B0F"/>
    <w:rsid w:val="00CC52D0"/>
    <w:rsid w:val="00CD01DC"/>
    <w:rsid w:val="00CD2DAF"/>
    <w:rsid w:val="00CD3F15"/>
    <w:rsid w:val="00CD4352"/>
    <w:rsid w:val="00CD55E1"/>
    <w:rsid w:val="00CD68C3"/>
    <w:rsid w:val="00CE2929"/>
    <w:rsid w:val="00CF0295"/>
    <w:rsid w:val="00CF7BA6"/>
    <w:rsid w:val="00D002DC"/>
    <w:rsid w:val="00D00B00"/>
    <w:rsid w:val="00D05A16"/>
    <w:rsid w:val="00D1160D"/>
    <w:rsid w:val="00D11D43"/>
    <w:rsid w:val="00D16B52"/>
    <w:rsid w:val="00D234CD"/>
    <w:rsid w:val="00D24D4E"/>
    <w:rsid w:val="00D25458"/>
    <w:rsid w:val="00D32A11"/>
    <w:rsid w:val="00D34220"/>
    <w:rsid w:val="00D40467"/>
    <w:rsid w:val="00D443C4"/>
    <w:rsid w:val="00D45F25"/>
    <w:rsid w:val="00D463EF"/>
    <w:rsid w:val="00D469BB"/>
    <w:rsid w:val="00D511C2"/>
    <w:rsid w:val="00D5186E"/>
    <w:rsid w:val="00D53204"/>
    <w:rsid w:val="00D5542C"/>
    <w:rsid w:val="00D579B6"/>
    <w:rsid w:val="00D60BAC"/>
    <w:rsid w:val="00D64CC3"/>
    <w:rsid w:val="00D66CD2"/>
    <w:rsid w:val="00D7028E"/>
    <w:rsid w:val="00D70481"/>
    <w:rsid w:val="00D74EA7"/>
    <w:rsid w:val="00D772C1"/>
    <w:rsid w:val="00D85040"/>
    <w:rsid w:val="00DA1F40"/>
    <w:rsid w:val="00DA7FC2"/>
    <w:rsid w:val="00DB2DA5"/>
    <w:rsid w:val="00DB2EE7"/>
    <w:rsid w:val="00DB3524"/>
    <w:rsid w:val="00DB556F"/>
    <w:rsid w:val="00DB576D"/>
    <w:rsid w:val="00DB6871"/>
    <w:rsid w:val="00DB7700"/>
    <w:rsid w:val="00DC7A95"/>
    <w:rsid w:val="00DC7C67"/>
    <w:rsid w:val="00DD5390"/>
    <w:rsid w:val="00DD653A"/>
    <w:rsid w:val="00DE1F1F"/>
    <w:rsid w:val="00DE2C4D"/>
    <w:rsid w:val="00DE416F"/>
    <w:rsid w:val="00DE4B1F"/>
    <w:rsid w:val="00DE5EC4"/>
    <w:rsid w:val="00DE78DC"/>
    <w:rsid w:val="00DE7FCA"/>
    <w:rsid w:val="00DF1255"/>
    <w:rsid w:val="00DF2151"/>
    <w:rsid w:val="00DF41DD"/>
    <w:rsid w:val="00DF4535"/>
    <w:rsid w:val="00DF4E79"/>
    <w:rsid w:val="00E00B23"/>
    <w:rsid w:val="00E124C2"/>
    <w:rsid w:val="00E12B7F"/>
    <w:rsid w:val="00E1417E"/>
    <w:rsid w:val="00E15D7D"/>
    <w:rsid w:val="00E223C7"/>
    <w:rsid w:val="00E238E7"/>
    <w:rsid w:val="00E239F1"/>
    <w:rsid w:val="00E23A39"/>
    <w:rsid w:val="00E26914"/>
    <w:rsid w:val="00E31D01"/>
    <w:rsid w:val="00E37701"/>
    <w:rsid w:val="00E40A6C"/>
    <w:rsid w:val="00E421E9"/>
    <w:rsid w:val="00E45B5B"/>
    <w:rsid w:val="00E45C76"/>
    <w:rsid w:val="00E4667F"/>
    <w:rsid w:val="00E470ED"/>
    <w:rsid w:val="00E47EDF"/>
    <w:rsid w:val="00E502D3"/>
    <w:rsid w:val="00E51CF9"/>
    <w:rsid w:val="00E571B2"/>
    <w:rsid w:val="00E66E03"/>
    <w:rsid w:val="00E72D50"/>
    <w:rsid w:val="00E757F0"/>
    <w:rsid w:val="00E96121"/>
    <w:rsid w:val="00E97386"/>
    <w:rsid w:val="00E97CBA"/>
    <w:rsid w:val="00EA1CB1"/>
    <w:rsid w:val="00EA267D"/>
    <w:rsid w:val="00EA75DA"/>
    <w:rsid w:val="00EB49DD"/>
    <w:rsid w:val="00EB513E"/>
    <w:rsid w:val="00EB5496"/>
    <w:rsid w:val="00EB57D9"/>
    <w:rsid w:val="00EB5F98"/>
    <w:rsid w:val="00EC4D28"/>
    <w:rsid w:val="00EC5F20"/>
    <w:rsid w:val="00EC5F48"/>
    <w:rsid w:val="00EC6433"/>
    <w:rsid w:val="00EC6C0A"/>
    <w:rsid w:val="00EC7EDB"/>
    <w:rsid w:val="00ED09F5"/>
    <w:rsid w:val="00ED2FFB"/>
    <w:rsid w:val="00ED41B7"/>
    <w:rsid w:val="00ED6EE8"/>
    <w:rsid w:val="00EE097D"/>
    <w:rsid w:val="00EE0B11"/>
    <w:rsid w:val="00EE2EFF"/>
    <w:rsid w:val="00EE3788"/>
    <w:rsid w:val="00EE661F"/>
    <w:rsid w:val="00F01536"/>
    <w:rsid w:val="00F1111F"/>
    <w:rsid w:val="00F115D6"/>
    <w:rsid w:val="00F11A55"/>
    <w:rsid w:val="00F13BAA"/>
    <w:rsid w:val="00F14274"/>
    <w:rsid w:val="00F155BB"/>
    <w:rsid w:val="00F158B3"/>
    <w:rsid w:val="00F2064D"/>
    <w:rsid w:val="00F25829"/>
    <w:rsid w:val="00F25C1F"/>
    <w:rsid w:val="00F27A33"/>
    <w:rsid w:val="00F306E9"/>
    <w:rsid w:val="00F30AF3"/>
    <w:rsid w:val="00F319DA"/>
    <w:rsid w:val="00F37F80"/>
    <w:rsid w:val="00F41652"/>
    <w:rsid w:val="00F43CC5"/>
    <w:rsid w:val="00F449A8"/>
    <w:rsid w:val="00F453B4"/>
    <w:rsid w:val="00F519DD"/>
    <w:rsid w:val="00F53A4A"/>
    <w:rsid w:val="00F55491"/>
    <w:rsid w:val="00F559CD"/>
    <w:rsid w:val="00F61243"/>
    <w:rsid w:val="00F628C3"/>
    <w:rsid w:val="00F6400A"/>
    <w:rsid w:val="00F6542A"/>
    <w:rsid w:val="00F6543D"/>
    <w:rsid w:val="00F66528"/>
    <w:rsid w:val="00F668D3"/>
    <w:rsid w:val="00F7005F"/>
    <w:rsid w:val="00F75A8F"/>
    <w:rsid w:val="00F77274"/>
    <w:rsid w:val="00F80681"/>
    <w:rsid w:val="00F83691"/>
    <w:rsid w:val="00F83901"/>
    <w:rsid w:val="00F84AD0"/>
    <w:rsid w:val="00F84C5F"/>
    <w:rsid w:val="00F86120"/>
    <w:rsid w:val="00F86A9D"/>
    <w:rsid w:val="00F87E9B"/>
    <w:rsid w:val="00F90872"/>
    <w:rsid w:val="00F93D72"/>
    <w:rsid w:val="00F95CF7"/>
    <w:rsid w:val="00FA0F2F"/>
    <w:rsid w:val="00FA386E"/>
    <w:rsid w:val="00FA5550"/>
    <w:rsid w:val="00FB25FF"/>
    <w:rsid w:val="00FB526F"/>
    <w:rsid w:val="00FC0A1F"/>
    <w:rsid w:val="00FC1465"/>
    <w:rsid w:val="00FC2997"/>
    <w:rsid w:val="00FC2DA5"/>
    <w:rsid w:val="00FC37FA"/>
    <w:rsid w:val="00FC6057"/>
    <w:rsid w:val="00FC78FE"/>
    <w:rsid w:val="00FD2116"/>
    <w:rsid w:val="00FD7DD0"/>
    <w:rsid w:val="00FE1CD2"/>
    <w:rsid w:val="00FE386E"/>
    <w:rsid w:val="00FE6614"/>
    <w:rsid w:val="00FE6ECB"/>
    <w:rsid w:val="00FE7ED5"/>
    <w:rsid w:val="00FF08A5"/>
    <w:rsid w:val="00FF2646"/>
    <w:rsid w:val="00FF2E2A"/>
    <w:rsid w:val="00FF3109"/>
    <w:rsid w:val="00FF7B30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PL/TXT/?uri=celex%3A12012P%2FTX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?uri=celex%3A12012P%2FTXT" TargetMode="External"/><Relationship Id="rId2" Type="http://schemas.openxmlformats.org/officeDocument/2006/relationships/hyperlink" Target="https://www.gov.pl/web/rozwoj-technologia/rada-ministrowprzyjela-projekt-mapy-drogowej-goz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46A69-D702-407C-9496-56CBB9FE96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1D6CE0-C2B6-45CE-821D-B28C2EBF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3178</Words>
  <Characters>23827</Characters>
  <Application>Microsoft Office Word</Application>
  <DocSecurity>0</DocSecurity>
  <Lines>198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26952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1267/492/23 ZWP z dn. 26.10.2023 r.</dc:title>
  <dc:subject>Regulamin wyboru projektów - nabór dla Dz. 2.13. - Instrukcja SW</dc:subject>
  <dc:creator>jkowalczuk</dc:creator>
  <cp:keywords>uchwała ZWP; regulamin wyboru projektów</cp:keywords>
  <dc:description/>
  <cp:lastModifiedBy>Mróz Agata</cp:lastModifiedBy>
  <cp:revision>2</cp:revision>
  <cp:lastPrinted>2023-10-09T10:06:00Z</cp:lastPrinted>
  <dcterms:created xsi:type="dcterms:W3CDTF">2023-10-26T09:40:00Z</dcterms:created>
  <dcterms:modified xsi:type="dcterms:W3CDTF">2023-10-26T09:40:00Z</dcterms:modified>
</cp:coreProperties>
</file>