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3578004"/>
    <w:bookmarkStart w:id="1" w:name="_Toc53577686"/>
    <w:bookmarkStart w:id="2" w:name="_Toc56442099"/>
    <w:p w14:paraId="63EB64C2" w14:textId="58855A17" w:rsidR="00372ECE" w:rsidRDefault="00372ECE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noProof/>
          <w:color w:val="FFFFFF"/>
          <w:sz w:val="22"/>
          <w:szCs w:val="22"/>
        </w:rPr>
        <mc:AlternateContent>
          <mc:Choice Requires="wps">
            <w:drawing>
              <wp:inline distT="0" distB="0" distL="0" distR="0" wp14:anchorId="0EDE089D" wp14:editId="3D6BE3CF">
                <wp:extent cx="5759450" cy="0"/>
                <wp:effectExtent l="0" t="0" r="0" b="0"/>
                <wp:docPr id="4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FA7B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53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">
                <w10:anchorlock/>
              </v:shape>
            </w:pict>
          </mc:Fallback>
        </mc:AlternateContent>
      </w:r>
    </w:p>
    <w:p w14:paraId="1B60C440" w14:textId="5BBB7A22" w:rsidR="00BB14C1" w:rsidRDefault="00BB14C1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FB13E1">
        <w:rPr>
          <w:rFonts w:asciiTheme="minorHAnsi" w:hAnsiTheme="minorHAnsi" w:cstheme="minorHAnsi"/>
          <w:sz w:val="22"/>
          <w:szCs w:val="22"/>
        </w:rPr>
        <w:t>10</w:t>
      </w:r>
      <w:bookmarkStart w:id="3" w:name="_GoBack"/>
      <w:bookmarkEnd w:id="3"/>
      <w:r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</w:p>
    <w:bookmarkEnd w:id="2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1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177583FD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poz.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1079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4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4"/>
    </w:p>
    <w:p w14:paraId="43F00F41" w14:textId="2B99B456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>Działania</w:t>
      </w:r>
      <w:r w:rsidR="00772FC7">
        <w:rPr>
          <w:rFonts w:ascii="Calibri" w:hAnsi="Calibri"/>
          <w:sz w:val="22"/>
          <w:szCs w:val="22"/>
        </w:rPr>
        <w:t xml:space="preserve"> </w:t>
      </w:r>
      <w:r w:rsidR="00772FC7" w:rsidRPr="00772FC7">
        <w:rPr>
          <w:rFonts w:ascii="Calibri" w:hAnsi="Calibri"/>
          <w:sz w:val="22"/>
          <w:szCs w:val="22"/>
        </w:rPr>
        <w:t>5.</w:t>
      </w:r>
      <w:r w:rsidR="00671405">
        <w:rPr>
          <w:rFonts w:ascii="Calibri" w:hAnsi="Calibri"/>
          <w:sz w:val="22"/>
          <w:szCs w:val="22"/>
        </w:rPr>
        <w:t>4</w:t>
      </w:r>
      <w:r w:rsidR="00772FC7" w:rsidRPr="00772FC7">
        <w:rPr>
          <w:rFonts w:ascii="Calibri" w:hAnsi="Calibri"/>
          <w:sz w:val="22"/>
          <w:szCs w:val="22"/>
        </w:rPr>
        <w:t xml:space="preserve">. </w:t>
      </w:r>
      <w:r w:rsidR="00671405">
        <w:rPr>
          <w:rFonts w:ascii="Calibri" w:hAnsi="Calibri"/>
          <w:sz w:val="22"/>
          <w:szCs w:val="22"/>
        </w:rPr>
        <w:t>Kobiety na rynku pracy</w:t>
      </w:r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2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5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5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6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7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7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Wskazane poniżej Strony umowy pełnią funkcję Partnerów Projektu. Oznacza to, że wszyscy Partnerzy współuczestniczą w realizacji Projektu, będąc odpowiedzialnymi za realizację jednego 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801D7F">
        <w:rPr>
          <w:rFonts w:asciiTheme="minorHAnsi" w:hAnsiTheme="minorHAnsi" w:cstheme="minorHAnsi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8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8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6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0DFAADA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grantobiorców,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2E8F14FC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C73191">
        <w:rPr>
          <w:rFonts w:ascii="Calibri" w:eastAsia="Calibri" w:hAnsi="Calibri"/>
          <w:color w:val="000000"/>
          <w:sz w:val="22"/>
          <w:szCs w:val="22"/>
          <w:lang w:eastAsia="en-US"/>
        </w:rPr>
        <w:t>4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C73191">
        <w:rPr>
          <w:rFonts w:ascii="Calibri" w:eastAsia="Calibri" w:hAnsi="Calibri"/>
          <w:color w:val="000000"/>
          <w:sz w:val="22"/>
          <w:szCs w:val="22"/>
          <w:lang w:eastAsia="en-US"/>
        </w:rPr>
        <w:t>1320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383304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przygotowania i przeprowadzenia postępowania o udzielenie</w:t>
      </w:r>
      <w:r w:rsidR="00CE020B" w:rsidRPr="00383304">
        <w:rPr>
          <w:rFonts w:ascii="Calibri" w:eastAsia="Calibri" w:hAnsi="Calibri"/>
          <w:sz w:val="22"/>
          <w:szCs w:val="22"/>
          <w:lang w:eastAsia="en-US"/>
        </w:rPr>
        <w:t xml:space="preserve"> zamówienia w ramach Projektu w </w:t>
      </w:r>
      <w:r w:rsidRPr="00383304">
        <w:rPr>
          <w:rFonts w:ascii="Calibri" w:eastAsia="Calibri" w:hAnsi="Calibri"/>
          <w:sz w:val="22"/>
          <w:szCs w:val="22"/>
          <w:lang w:eastAsia="en-US"/>
        </w:rPr>
        <w:t>sposób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 xml:space="preserve"> przejrzysty i 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>proporcjonalny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>,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zapewniający zachowanie  uczciwej konkurencji 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 xml:space="preserve">oraz 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równe traktowani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>e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wykonawców</w:t>
      </w:r>
      <w:r w:rsidR="00153CDD" w:rsidRPr="00383304">
        <w:rPr>
          <w:rFonts w:ascii="Calibri" w:hAnsi="Calibri"/>
          <w:color w:val="000000"/>
          <w:sz w:val="22"/>
          <w:szCs w:val="22"/>
        </w:rPr>
        <w:t>.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53CDD" w:rsidRPr="00383304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 w:rsidRPr="00383304">
        <w:rPr>
          <w:rFonts w:ascii="Calibri" w:hAnsi="Calibri" w:cs="Calibri"/>
          <w:sz w:val="22"/>
          <w:szCs w:val="22"/>
        </w:rPr>
        <w:t>P</w:t>
      </w:r>
      <w:r w:rsidR="00153CDD" w:rsidRPr="00383304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38330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9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9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0B252F5C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7A7830">
        <w:rPr>
          <w:rFonts w:ascii="Calibri" w:hAnsi="Calibri" w:cs="Tahoma"/>
          <w:sz w:val="22"/>
          <w:szCs w:val="22"/>
        </w:rPr>
        <w:t xml:space="preserve"> oraz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2D63035B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7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6E5AA8">
        <w:rPr>
          <w:rFonts w:ascii="Calibri" w:hAnsi="Calibri" w:cs="Tahoma"/>
          <w:sz w:val="22"/>
          <w:szCs w:val="22"/>
        </w:rPr>
        <w:t>,</w:t>
      </w:r>
    </w:p>
    <w:p w14:paraId="282AF993" w14:textId="26D2B1E1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>, tzn. kryteri</w:t>
      </w:r>
      <w:r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premiując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 oferty podmiotów ekonomii społecznej 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4A848AAE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6E5AA8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7ABDE9DD" w14:textId="77777777" w:rsidR="00384051" w:rsidRDefault="00384051" w:rsidP="00801D7F">
      <w:pPr>
        <w:pStyle w:val="Akapitzlist"/>
        <w:spacing w:after="120" w:line="276" w:lineRule="auto"/>
        <w:ind w:left="85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23585B4A" w14:textId="46486A4C" w:rsidR="00846A0B" w:rsidRPr="00801D7F" w:rsidRDefault="002A5C9D" w:rsidP="00801D7F">
      <w:pPr>
        <w:pStyle w:val="Akapitzlist"/>
        <w:numPr>
          <w:ilvl w:val="1"/>
          <w:numId w:val="22"/>
        </w:numPr>
        <w:tabs>
          <w:tab w:val="clear" w:pos="1353"/>
        </w:tabs>
        <w:spacing w:before="200" w:after="30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405486">
        <w:rPr>
          <w:rFonts w:ascii="Calibri" w:hAnsi="Calibri"/>
          <w:sz w:val="22"/>
          <w:szCs w:val="22"/>
        </w:rPr>
        <w:t>wprowadzenia i bieżącego aktualizowania na oficjalnej stronie internetowej, jeśli ją</w:t>
      </w:r>
      <w:r>
        <w:rPr>
          <w:rFonts w:ascii="Calibri" w:hAnsi="Calibri"/>
          <w:sz w:val="22"/>
          <w:szCs w:val="22"/>
        </w:rPr>
        <w:t xml:space="preserve"> </w:t>
      </w:r>
      <w:r w:rsidRPr="00405486">
        <w:rPr>
          <w:rFonts w:ascii="Calibri" w:hAnsi="Calibri"/>
          <w:sz w:val="22"/>
          <w:szCs w:val="22"/>
        </w:rPr>
        <w:t xml:space="preserve">posiadają lub na stronach mediów społecznościowych, harmonogramu wsparcia udzielanego w ramach realizowanego Projektu [miejsce i termin (data, godzina) szkoleń/kursów/staży itp.] niezwłocznie po jego ustaleniu, lecz nie później niż w terminach ich rozpoczęcia. Dane zawarte w harmonogramie powinny odzwierciedlać zaplanowane wsparcie co najmniej na okres kolejnych 2 miesięcy. 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Harmonogram wsparcia udzielonego w ramach </w:t>
      </w:r>
      <w:r w:rsidRPr="00405486">
        <w:rPr>
          <w:rFonts w:ascii="Calibri" w:hAnsi="Calibri"/>
          <w:sz w:val="22"/>
          <w:szCs w:val="22"/>
        </w:rPr>
        <w:t>realizowanego Projektu poszczególni Partnerzy przekazują również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 Partnerowi wiodącemu, który zamieszcza i aktualizuje harmonogram</w:t>
      </w:r>
      <w:r w:rsidRPr="00405486">
        <w:rPr>
          <w:rFonts w:ascii="Calibri" w:hAnsi="Calibri"/>
          <w:sz w:val="22"/>
          <w:szCs w:val="22"/>
        </w:rPr>
        <w:t>, zgodnie z warunkami określonymi w umowie o dofinansowanie Projektu.</w:t>
      </w:r>
    </w:p>
    <w:p w14:paraId="1F39197B" w14:textId="7AE7E598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>, 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: </w:t>
      </w:r>
      <w:hyperlink r:id="rId9" w:history="1">
        <w:r w:rsidR="00B151DD" w:rsidRPr="00B151DD">
          <w:rPr>
            <w:rFonts w:ascii="Calibri" w:hAnsi="Calibri" w:cs="Calibri"/>
            <w:color w:val="0563C1"/>
            <w:sz w:val="22"/>
            <w:szCs w:val="22"/>
            <w:u w:val="single"/>
          </w:rPr>
          <w:t>www.funduszeuepomorskie.pl</w:t>
        </w:r>
      </w:hyperlink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0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0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1" w:name="_Toc56442105"/>
      <w:r w:rsidRPr="00747A65">
        <w:rPr>
          <w:rFonts w:eastAsia="Calibri"/>
          <w:lang w:eastAsia="en-US"/>
        </w:rPr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8"/>
      </w:r>
      <w:bookmarkEnd w:id="11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 xml:space="preserve">Partnerzy nie mogą przeznaczać środków finansowych, o których mowa w ust. 1, na cele inne niż związane z Projektem, w szczególności na tymczasowe finansowanie swojej podstawowej, </w:t>
      </w:r>
      <w:proofErr w:type="spellStart"/>
      <w:r w:rsidRPr="00D722F5">
        <w:rPr>
          <w:rFonts w:ascii="Calibri" w:hAnsi="Calibri" w:cs="Tahoma"/>
          <w:sz w:val="22"/>
          <w:szCs w:val="22"/>
        </w:rPr>
        <w:t>pozaprojektowej</w:t>
      </w:r>
      <w:proofErr w:type="spellEnd"/>
      <w:r w:rsidRPr="00D722F5">
        <w:rPr>
          <w:rFonts w:ascii="Calibri" w:hAnsi="Calibri" w:cs="Tahoma"/>
          <w:sz w:val="22"/>
          <w:szCs w:val="22"/>
        </w:rPr>
        <w:t xml:space="preserve">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9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 xml:space="preserve">. 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1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2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3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4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5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2A041695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Instytucja Zarządzająca występuje z</w:t>
      </w:r>
      <w:r w:rsidR="00303355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4224D70C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2" w:name="_Toc56442106"/>
      <w:r w:rsidRPr="00747A65">
        <w:t>§ 8.</w:t>
      </w:r>
      <w:r w:rsidR="008F5653">
        <w:br/>
      </w:r>
      <w:r w:rsidRPr="00747A65">
        <w:t>Ochrona danych osobowych</w:t>
      </w:r>
      <w:bookmarkEnd w:id="12"/>
    </w:p>
    <w:p w14:paraId="247769CB" w14:textId="4F7BF610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</w:t>
      </w:r>
      <w:r w:rsidR="0030335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01371A">
        <w:rPr>
          <w:rFonts w:ascii="Calibri" w:eastAsia="Calibri" w:hAnsi="Calibri" w:cs="Calibri"/>
          <w:sz w:val="22"/>
          <w:szCs w:val="22"/>
          <w:lang w:eastAsia="en-US"/>
        </w:rPr>
        <w:t>CST2021 lub z rejestrów publicznych, o których mowa w art. 92 ust. 2 ustawy wdrożeniowej odbywa się zgodnie z zasadami określonymi w rozdziale 18 ustawy wdrożeniowej</w:t>
      </w:r>
      <w:r w:rsidR="003A00C5">
        <w:rPr>
          <w:rFonts w:ascii="Calibri" w:eastAsia="Calibri" w:hAnsi="Calibri" w:cs="Calibri"/>
          <w:sz w:val="22"/>
          <w:szCs w:val="22"/>
          <w:lang w:eastAsia="en-US"/>
        </w:rPr>
        <w:t xml:space="preserve"> i 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>rozporządzeni</w:t>
      </w:r>
      <w:r w:rsidR="003A00C5">
        <w:rPr>
          <w:rFonts w:ascii="Calibri" w:eastAsia="Calibri" w:hAnsi="Calibri" w:cs="Calibri"/>
          <w:sz w:val="22"/>
          <w:szCs w:val="22"/>
          <w:lang w:eastAsia="en-US"/>
        </w:rPr>
        <w:t>em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 xml:space="preserve">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 zwan</w:t>
      </w:r>
      <w:r w:rsidR="001E615B">
        <w:rPr>
          <w:rFonts w:ascii="Calibri" w:eastAsia="Calibri" w:hAnsi="Calibri" w:cs="Calibri"/>
          <w:sz w:val="22"/>
          <w:szCs w:val="22"/>
          <w:lang w:eastAsia="en-US"/>
        </w:rPr>
        <w:t xml:space="preserve">ym 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>dalej „RODO”</w:t>
      </w:r>
      <w:r w:rsidRPr="0001371A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4225EAD" w14:textId="0DB9013E" w:rsidR="002946B7" w:rsidRPr="0001371A" w:rsidRDefault="002946B7" w:rsidP="004C5803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bookmarkStart w:id="13" w:name="_Hlk128393856"/>
      <w:r w:rsidRPr="00B0167D">
        <w:rPr>
          <w:rFonts w:ascii="Calibri" w:hAnsi="Calibri" w:cs="Calibri"/>
          <w:sz w:val="22"/>
          <w:szCs w:val="22"/>
        </w:rPr>
        <w:t>Par</w:t>
      </w:r>
      <w:r w:rsidR="007A5C7E" w:rsidRPr="00B0167D">
        <w:rPr>
          <w:rFonts w:ascii="Calibri" w:hAnsi="Calibri" w:cs="Calibri"/>
          <w:sz w:val="22"/>
          <w:szCs w:val="22"/>
        </w:rPr>
        <w:t>tner wiodący</w:t>
      </w:r>
      <w:r w:rsidRPr="00B0167D">
        <w:rPr>
          <w:rFonts w:ascii="Calibri" w:hAnsi="Calibri" w:cs="Calibri"/>
          <w:sz w:val="22"/>
          <w:szCs w:val="22"/>
        </w:rPr>
        <w:t xml:space="preserve"> jako Administrator</w:t>
      </w:r>
      <w:r w:rsidRPr="0001371A">
        <w:rPr>
          <w:rFonts w:ascii="Calibri" w:hAnsi="Calibri" w:cs="Calibri"/>
          <w:sz w:val="22"/>
          <w:szCs w:val="22"/>
        </w:rPr>
        <w:t xml:space="preserve"> danych osobowych w rozumieniu </w:t>
      </w:r>
      <w:r w:rsidR="009D2E78">
        <w:rPr>
          <w:rFonts w:ascii="Calibri" w:hAnsi="Calibri"/>
          <w:sz w:val="22"/>
          <w:szCs w:val="22"/>
        </w:rPr>
        <w:t>RODO</w:t>
      </w:r>
      <w:r w:rsidR="008B6D1E">
        <w:rPr>
          <w:rFonts w:ascii="Calibri" w:hAnsi="Calibri"/>
          <w:sz w:val="22"/>
          <w:szCs w:val="22"/>
        </w:rPr>
        <w:t xml:space="preserve"> jest</w:t>
      </w:r>
      <w:r w:rsidRPr="0001371A">
        <w:rPr>
          <w:rFonts w:ascii="Calibri" w:hAnsi="Calibri" w:cs="Calibri"/>
          <w:sz w:val="22"/>
          <w:szCs w:val="22"/>
        </w:rPr>
        <w:t xml:space="preserve"> zobowiązan</w:t>
      </w:r>
      <w:r w:rsidR="008B6D1E">
        <w:rPr>
          <w:rFonts w:ascii="Calibri" w:hAnsi="Calibri" w:cs="Calibri"/>
          <w:sz w:val="22"/>
          <w:szCs w:val="22"/>
        </w:rPr>
        <w:t>y</w:t>
      </w:r>
      <w:r w:rsidRPr="0001371A">
        <w:rPr>
          <w:rFonts w:ascii="Calibri" w:hAnsi="Calibri" w:cs="Calibri"/>
          <w:sz w:val="22"/>
          <w:szCs w:val="22"/>
        </w:rPr>
        <w:t xml:space="preserve">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3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1A5AB67C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powierzenia</w:t>
      </w:r>
      <w:r w:rsidR="003A00C5" w:rsidRPr="003A00C5">
        <w:rPr>
          <w:rFonts w:ascii="Calibri" w:hAnsi="Calibri" w:cs="Tahoma"/>
          <w:sz w:val="22"/>
          <w:szCs w:val="22"/>
        </w:rPr>
        <w:t xml:space="preserve">, o ile obowiązek taki wynika z RODO, </w:t>
      </w:r>
      <w:r w:rsidRPr="00D47DAC">
        <w:rPr>
          <w:rFonts w:ascii="Calibri" w:hAnsi="Calibri" w:cs="Tahoma"/>
          <w:sz w:val="22"/>
          <w:szCs w:val="22"/>
        </w:rPr>
        <w:t xml:space="preserve">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</w:t>
      </w:r>
      <w:r w:rsidRPr="00D47DAC">
        <w:rPr>
          <w:rFonts w:ascii="Calibri" w:hAnsi="Calibri" w:cs="Tahoma"/>
          <w:sz w:val="22"/>
          <w:szCs w:val="22"/>
        </w:rPr>
        <w:t xml:space="preserve">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rojektu, zgodnie z art. 28 RODO.</w:t>
      </w:r>
    </w:p>
    <w:p w14:paraId="448459D7" w14:textId="175156C3" w:rsidR="002946B7" w:rsidRPr="00B0167D" w:rsidRDefault="002946B7" w:rsidP="0082432A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r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4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4"/>
    </w:p>
    <w:p w14:paraId="5FED60B1" w14:textId="2EF3DE10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5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5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6" w:name="_Toc56442108"/>
      <w:r w:rsidRPr="00747A65">
        <w:t>§ 10.</w:t>
      </w:r>
      <w:r w:rsidR="007870A5">
        <w:br/>
      </w:r>
      <w:r w:rsidR="00F9057E">
        <w:t>Promocja Projektu</w:t>
      </w:r>
      <w:bookmarkEnd w:id="16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30.06.2021, str. 159, z </w:t>
      </w:r>
      <w:proofErr w:type="spellStart"/>
      <w:r w:rsidR="00044453" w:rsidRPr="00B0167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44453" w:rsidRPr="00B0167D">
        <w:rPr>
          <w:rFonts w:asciiTheme="minorHAnsi" w:hAnsiTheme="minorHAnsi" w:cstheme="minorHAnsi"/>
          <w:sz w:val="22"/>
          <w:szCs w:val="22"/>
        </w:rPr>
        <w:t>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7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7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8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8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7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6E978AE9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0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EMPL-B5-UNIT@ec.europa.eu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19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59C92022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19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2" w:history="1">
        <w:r w:rsidR="00B151DD" w:rsidRPr="00B151DD">
          <w:rPr>
            <w:rStyle w:val="Hipercze"/>
            <w:rFonts w:ascii="Calibri" w:hAnsi="Calibri" w:cs="Calibri"/>
            <w:sz w:val="22"/>
            <w:szCs w:val="22"/>
          </w:rPr>
          <w:t>www.funduszeuepomorskie.pl</w:t>
        </w:r>
      </w:hyperlink>
      <w:r w:rsidR="00804A82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4DF3218E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rawach autorskich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t>2509</w:t>
      </w:r>
      <w:r w:rsidR="00C56402">
        <w:rPr>
          <w:rFonts w:ascii="Calibri" w:eastAsia="Calibri" w:hAnsi="Calibri" w:cs="Arial"/>
          <w:sz w:val="22"/>
          <w:szCs w:val="22"/>
          <w:lang w:eastAsia="en-US"/>
        </w:rPr>
        <w:t xml:space="preserve">, z </w:t>
      </w:r>
      <w:proofErr w:type="spellStart"/>
      <w:r w:rsidR="00C56402">
        <w:rPr>
          <w:rFonts w:ascii="Calibri" w:eastAsia="Calibri" w:hAnsi="Calibri" w:cs="Arial"/>
          <w:sz w:val="22"/>
          <w:szCs w:val="22"/>
          <w:lang w:eastAsia="en-US"/>
        </w:rPr>
        <w:t>późn</w:t>
      </w:r>
      <w:proofErr w:type="spellEnd"/>
      <w:r w:rsidR="00C56402">
        <w:rPr>
          <w:rFonts w:ascii="Calibri" w:eastAsia="Calibri" w:hAnsi="Calibri" w:cs="Arial"/>
          <w:sz w:val="22"/>
          <w:szCs w:val="22"/>
          <w:lang w:eastAsia="en-US"/>
        </w:rPr>
        <w:t>. zm.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</w:t>
      </w:r>
      <w:proofErr w:type="spellStart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późn</w:t>
      </w:r>
      <w:proofErr w:type="spellEnd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0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0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0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13E299E9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przypadku gdy Projekt objęty jest pomocą </w:t>
      </w:r>
      <w:r w:rsidR="00384051">
        <w:rPr>
          <w:rFonts w:ascii="Calibri" w:hAnsi="Calibri" w:cs="Tahoma"/>
          <w:sz w:val="22"/>
          <w:szCs w:val="22"/>
        </w:rPr>
        <w:t>publiczną</w:t>
      </w:r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656BD6D6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</w:p>
    <w:p w14:paraId="3A311701" w14:textId="28304E8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Instytucje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1AE11D5B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</w:t>
      </w:r>
      <w:r w:rsidR="00303355">
        <w:rPr>
          <w:rFonts w:ascii="Calibri" w:hAnsi="Calibri" w:cs="Calibri"/>
          <w:sz w:val="22"/>
          <w:szCs w:val="22"/>
        </w:rPr>
        <w:t> </w:t>
      </w:r>
      <w:r w:rsidRPr="007F70D9">
        <w:rPr>
          <w:rFonts w:ascii="Calibri" w:hAnsi="Calibri" w:cs="Calibri"/>
          <w:sz w:val="22"/>
          <w:szCs w:val="22"/>
        </w:rPr>
        <w:t>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492FE4EE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</w:t>
      </w:r>
      <w:r w:rsidR="00303355">
        <w:rPr>
          <w:rFonts w:ascii="Calibri" w:hAnsi="Calibri" w:cs="Calibri"/>
          <w:sz w:val="22"/>
          <w:szCs w:val="22"/>
        </w:rPr>
        <w:t> </w:t>
      </w:r>
      <w:r w:rsidRPr="004539E3">
        <w:rPr>
          <w:rFonts w:ascii="Calibri" w:hAnsi="Calibri" w:cs="Calibri"/>
          <w:sz w:val="22"/>
          <w:szCs w:val="22"/>
        </w:rPr>
        <w:t>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1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1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1"/>
      <w:r w:rsidRPr="00587222">
        <w:rPr>
          <w:bCs/>
        </w:rPr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2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2"/>
      <w:r w:rsidRPr="00747A65"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3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2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4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4"/>
      <w:r w:rsidRPr="00747A65">
        <w:rPr>
          <w:bCs/>
        </w:rPr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5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5"/>
      <w:r w:rsidRPr="00747A65"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6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7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8" w:name="_Toc56442117"/>
      <w:r w:rsidRPr="00747A65">
        <w:rPr>
          <w:rFonts w:eastAsia="Calibri"/>
          <w:lang w:eastAsia="en-US"/>
        </w:rPr>
        <w:t>Załączniki :</w:t>
      </w:r>
      <w:bookmarkEnd w:id="28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29" w:name="_Toc56442118"/>
      <w:r w:rsidRPr="00A97E21">
        <w:rPr>
          <w:rFonts w:asciiTheme="minorHAnsi" w:hAnsiTheme="minorHAnsi" w:cstheme="minorHAnsi"/>
          <w:b/>
          <w:sz w:val="22"/>
          <w:szCs w:val="22"/>
        </w:rPr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3"/>
      </w:r>
    </w:p>
    <w:p w14:paraId="495C9F72" w14:textId="732CED4C" w:rsidR="00216C07" w:rsidRPr="00075746" w:rsidRDefault="00216C07" w:rsidP="00801D7F">
      <w:pPr>
        <w:widowControl w:val="0"/>
        <w:spacing w:before="600" w:after="100" w:afterAutospacing="1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 w:rsidP="00801D7F">
      <w:pPr>
        <w:widowControl w:val="0"/>
        <w:spacing w:before="600" w:after="100" w:afterAutospacing="1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0" w:name="_Hlk138148345"/>
            <w:bookmarkStart w:id="31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0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1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984FDD">
      <w:headerReference w:type="first" r:id="rId13"/>
      <w:footerReference w:type="first" r:id="rId14"/>
      <w:footnotePr>
        <w:numStart w:val="2"/>
      </w:footnotePr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0B24" w14:textId="77777777" w:rsidR="00021BF6" w:rsidRDefault="00021BF6">
      <w:r>
        <w:separator/>
      </w:r>
    </w:p>
  </w:endnote>
  <w:endnote w:type="continuationSeparator" w:id="0">
    <w:p w14:paraId="6984C32B" w14:textId="77777777" w:rsidR="00021BF6" w:rsidRDefault="0002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654B2" w14:textId="77777777" w:rsidR="00021BF6" w:rsidRDefault="00021BF6">
      <w:r>
        <w:separator/>
      </w:r>
    </w:p>
  </w:footnote>
  <w:footnote w:type="continuationSeparator" w:id="0">
    <w:p w14:paraId="293EA242" w14:textId="77777777" w:rsidR="00021BF6" w:rsidRDefault="00021BF6">
      <w:r>
        <w:continuationSeparator/>
      </w:r>
    </w:p>
  </w:footnote>
  <w:footnote w:id="1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2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3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4">
    <w:p w14:paraId="30F35D2B" w14:textId="77777777" w:rsidR="00BE7C53" w:rsidRPr="00E00CF5" w:rsidRDefault="00BE7C53" w:rsidP="00147D31">
      <w:pPr>
        <w:pStyle w:val="Tekstprzypisu1"/>
        <w:rPr>
          <w:rFonts w:ascii="Calibri" w:hAnsi="Calibri"/>
          <w:sz w:val="22"/>
          <w:szCs w:val="22"/>
        </w:rPr>
      </w:pPr>
      <w:r w:rsidRPr="00E00CF5">
        <w:rPr>
          <w:rStyle w:val="Odwoanieprzypisudolnego"/>
          <w:rFonts w:ascii="Calibri" w:hAnsi="Calibri"/>
          <w:sz w:val="22"/>
          <w:szCs w:val="22"/>
        </w:rPr>
        <w:footnoteRef/>
      </w:r>
      <w:r w:rsidRPr="00E00CF5">
        <w:rPr>
          <w:rFonts w:ascii="Calibri" w:hAnsi="Calibri"/>
          <w:sz w:val="22"/>
          <w:szCs w:val="22"/>
        </w:rPr>
        <w:t xml:space="preserve"> Wykreślić jeśli nie dotyczy.</w:t>
      </w:r>
    </w:p>
  </w:footnote>
  <w:footnote w:id="5">
    <w:p w14:paraId="034A0DDF" w14:textId="77777777" w:rsidR="00BE7C53" w:rsidRPr="00E00CF5" w:rsidRDefault="00BE7C53" w:rsidP="00E13F31">
      <w:pPr>
        <w:pStyle w:val="Tekstprzypisu1"/>
        <w:ind w:left="142" w:hanging="142"/>
        <w:rPr>
          <w:rFonts w:ascii="Calibri" w:hAnsi="Calibri"/>
          <w:sz w:val="22"/>
          <w:szCs w:val="22"/>
        </w:rPr>
      </w:pPr>
      <w:r w:rsidRPr="00E00CF5">
        <w:rPr>
          <w:rStyle w:val="Odwoanieprzypisudolnego"/>
          <w:rFonts w:ascii="Calibri" w:hAnsi="Calibri"/>
          <w:sz w:val="22"/>
          <w:szCs w:val="22"/>
        </w:rPr>
        <w:footnoteRef/>
      </w:r>
      <w:r w:rsidRPr="00E00CF5">
        <w:rPr>
          <w:rFonts w:ascii="Calibri" w:hAnsi="Calibri"/>
          <w:sz w:val="22"/>
          <w:szCs w:val="22"/>
        </w:rPr>
        <w:t xml:space="preserve"> W przypadku otrzymywania środków w formie zaliczki Partner ma obowiązek otwarcia wyodrębnionego rachunku bankowego.</w:t>
      </w:r>
    </w:p>
  </w:footnote>
  <w:footnote w:id="6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E00CF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00CF5">
        <w:rPr>
          <w:sz w:val="22"/>
          <w:szCs w:val="22"/>
        </w:rPr>
        <w:t xml:space="preserve"> </w:t>
      </w:r>
      <w:r w:rsidRPr="00E00CF5">
        <w:rPr>
          <w:rFonts w:asciiTheme="minorHAnsi" w:hAnsiTheme="minorHAnsi" w:cstheme="minorHAnsi"/>
          <w:sz w:val="22"/>
          <w:szCs w:val="22"/>
        </w:rPr>
        <w:t>Dotyczy przypadku gdy całkowita wartość Projektu jest równa lub większa niż równowartość w PLN kwoty 5 000 000,00 EUR (włączając podatek od towarów i usług), przeliczonej zgodnie z miesięcznym obrachunkowym kursem wymiany walut stosowanym przez Komisję Europejską, aktualnym w dniu zawarcia umowy o dofinansowanie oraz gdy Partner będzie kwalifikował koszt podatku od towarów i usług.</w:t>
      </w:r>
    </w:p>
  </w:footnote>
  <w:footnote w:id="7">
    <w:p w14:paraId="20D2AE6A" w14:textId="78DD4402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 r., str. 65, z </w:t>
      </w:r>
      <w:proofErr w:type="spellStart"/>
      <w:r w:rsidRPr="00FD1402">
        <w:rPr>
          <w:rFonts w:ascii="Calibri" w:hAnsi="Calibri" w:cs="Calibri"/>
          <w:sz w:val="22"/>
          <w:szCs w:val="22"/>
        </w:rPr>
        <w:t>późn</w:t>
      </w:r>
      <w:proofErr w:type="spellEnd"/>
      <w:r w:rsidRPr="00FD1402">
        <w:rPr>
          <w:rFonts w:ascii="Calibri" w:hAnsi="Calibri" w:cs="Calibri"/>
          <w:sz w:val="22"/>
          <w:szCs w:val="22"/>
        </w:rPr>
        <w:t xml:space="preserve">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8">
    <w:p w14:paraId="2D2F13CB" w14:textId="25AAEEBA" w:rsidR="00BE7C53" w:rsidRPr="00974CFB" w:rsidRDefault="00BE7C53" w:rsidP="00E13F31">
      <w:pPr>
        <w:pStyle w:val="Tekstprzypisu1"/>
        <w:rPr>
          <w:rFonts w:ascii="Calibri" w:hAnsi="Calibri"/>
          <w:sz w:val="22"/>
          <w:szCs w:val="22"/>
        </w:rPr>
      </w:pPr>
      <w:r w:rsidRPr="00974CFB">
        <w:rPr>
          <w:rStyle w:val="Odwoanieprzypisudolnego"/>
          <w:rFonts w:ascii="Calibri" w:hAnsi="Calibri"/>
          <w:sz w:val="22"/>
          <w:szCs w:val="22"/>
        </w:rPr>
        <w:footnoteRef/>
      </w:r>
      <w:r w:rsidRPr="00974CFB">
        <w:rPr>
          <w:rFonts w:ascii="Calibri" w:hAnsi="Calibri"/>
          <w:sz w:val="22"/>
          <w:szCs w:val="22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9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0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1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2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3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4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5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6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7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8">
    <w:p w14:paraId="6D55A34A" w14:textId="000779FE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Nie dotyczy przypadku, gdy Projekt nie jest ani przedsięwzięciem strategicznym wymienionym w Aneksie 3 do FEP 2021-2027, ani też gdy całkowity koszt jego realizacji, nie przekracza równowartości 10 000 000,00 EUR. 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="00974CFB" w:rsidRPr="00974CFB">
          <w:rPr>
            <w:rStyle w:val="Hipercze"/>
            <w:rFonts w:asciiTheme="minorHAnsi" w:hAnsiTheme="minorHAnsi" w:cstheme="minorHAnsi"/>
            <w:sz w:val="22"/>
            <w:szCs w:val="22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</w:rPr>
        <w:t>.</w:t>
      </w:r>
    </w:p>
  </w:footnote>
  <w:footnote w:id="19">
    <w:p w14:paraId="09662DA5" w14:textId="77777777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Koszt Projektu należy przeliczyć według kursu Europejskiego Banku Centralnego </w:t>
      </w:r>
      <w:r w:rsidRPr="00974CFB">
        <w:rPr>
          <w:rFonts w:asciiTheme="minorHAnsi" w:hAnsiTheme="minorHAnsi" w:cstheme="minorHAnsi"/>
          <w:sz w:val="22"/>
          <w:szCs w:val="22"/>
          <w:lang w:bidi="pl-PL"/>
        </w:rPr>
        <w:t>z przedostatniego dnia pracy Komisji Europejskiej w miesiącu poprzedzającym miesiąc podpisania umowy o dofinansowanie.</w:t>
      </w:r>
      <w:r w:rsidRPr="00974CFB">
        <w:rPr>
          <w:rFonts w:asciiTheme="minorHAnsi" w:eastAsia="Calibri" w:hAnsiTheme="minorHAnsi" w:cstheme="minorHAnsi"/>
          <w:sz w:val="22"/>
          <w:szCs w:val="22"/>
          <w:lang w:eastAsia="en-US" w:bidi="pl-PL"/>
        </w:rPr>
        <w:t xml:space="preserve"> Kurs, o którym mowa w poprzednim zdaniu jest publikowany na stronie internetowej: </w:t>
      </w:r>
      <w:hyperlink r:id="rId3" w:history="1">
        <w:r w:rsidRPr="00974CFB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 w:bidi="pl-PL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  <w:lang w:bidi="pl-PL"/>
        </w:rPr>
        <w:t>.</w:t>
      </w:r>
    </w:p>
  </w:footnote>
  <w:footnote w:id="20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1">
    <w:p w14:paraId="74625902" w14:textId="4D6E5321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>Co do zasady środki na finansowanie mechanizmu racjonalnych usprawnień nie są planowane w</w:t>
      </w:r>
      <w:r w:rsidR="00303355">
        <w:rPr>
          <w:rFonts w:ascii="Calibri" w:hAnsi="Calibri" w:cs="Calibri"/>
          <w:sz w:val="22"/>
          <w:szCs w:val="22"/>
        </w:rPr>
        <w:t> </w:t>
      </w:r>
      <w:r w:rsidRPr="0094162C">
        <w:rPr>
          <w:rFonts w:ascii="Calibri" w:hAnsi="Calibri" w:cs="Calibri"/>
          <w:sz w:val="22"/>
          <w:szCs w:val="22"/>
        </w:rPr>
        <w:t xml:space="preserve">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2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3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33E9" w14:textId="325CB384" w:rsidR="00BE7C53" w:rsidRPr="004940C0" w:rsidRDefault="00BE7C53" w:rsidP="00801D7F">
    <w:pPr>
      <w:pStyle w:val="Nagwek"/>
      <w:spacing w:before="300"/>
    </w:pPr>
    <w:r w:rsidRPr="00213B4E">
      <w:rPr>
        <w:noProof/>
      </w:rPr>
      <w:drawing>
        <wp:inline distT="0" distB="0" distL="0" distR="0" wp14:anchorId="295FACD7" wp14:editId="48443EE9">
          <wp:extent cx="5759450" cy="596265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characterSpacingControl w:val="doNotCompress"/>
  <w:hdrShapeDefaults>
    <o:shapedefaults v:ext="edit" spidmax="3891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AA86393-78B0-4E1F-99D7-54D359076BC5}"/>
  </w:docVars>
  <w:rsids>
    <w:rsidRoot w:val="001A02A1"/>
    <w:rsid w:val="00002B78"/>
    <w:rsid w:val="0000479E"/>
    <w:rsid w:val="000121D6"/>
    <w:rsid w:val="00015BDD"/>
    <w:rsid w:val="00021471"/>
    <w:rsid w:val="00021BF6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47C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B0019"/>
    <w:rsid w:val="000B19CB"/>
    <w:rsid w:val="000B32CD"/>
    <w:rsid w:val="000B7961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10AD"/>
    <w:rsid w:val="0010072A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90"/>
    <w:rsid w:val="00134BA0"/>
    <w:rsid w:val="001356E4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5C9A"/>
    <w:rsid w:val="001C738C"/>
    <w:rsid w:val="001C7A4F"/>
    <w:rsid w:val="001D4F6F"/>
    <w:rsid w:val="001D5F85"/>
    <w:rsid w:val="001E2E97"/>
    <w:rsid w:val="001E615B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A5C9D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5183"/>
    <w:rsid w:val="003562A2"/>
    <w:rsid w:val="00356C06"/>
    <w:rsid w:val="00360158"/>
    <w:rsid w:val="003619F2"/>
    <w:rsid w:val="0036219C"/>
    <w:rsid w:val="00363F7D"/>
    <w:rsid w:val="0036476C"/>
    <w:rsid w:val="00365636"/>
    <w:rsid w:val="00365820"/>
    <w:rsid w:val="00365BDD"/>
    <w:rsid w:val="003664EF"/>
    <w:rsid w:val="00366DBF"/>
    <w:rsid w:val="00370083"/>
    <w:rsid w:val="00372ECE"/>
    <w:rsid w:val="003770AA"/>
    <w:rsid w:val="003801F6"/>
    <w:rsid w:val="0038052F"/>
    <w:rsid w:val="003821A4"/>
    <w:rsid w:val="00382678"/>
    <w:rsid w:val="00383304"/>
    <w:rsid w:val="00383519"/>
    <w:rsid w:val="00384051"/>
    <w:rsid w:val="00385360"/>
    <w:rsid w:val="00387E79"/>
    <w:rsid w:val="003A00C5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2393"/>
    <w:rsid w:val="00534C44"/>
    <w:rsid w:val="0054223A"/>
    <w:rsid w:val="00544EA8"/>
    <w:rsid w:val="00545CEB"/>
    <w:rsid w:val="00552FA9"/>
    <w:rsid w:val="005567D9"/>
    <w:rsid w:val="00560FA0"/>
    <w:rsid w:val="00562088"/>
    <w:rsid w:val="00562263"/>
    <w:rsid w:val="005625D2"/>
    <w:rsid w:val="00562C8B"/>
    <w:rsid w:val="005760A9"/>
    <w:rsid w:val="00576CA0"/>
    <w:rsid w:val="00576E7A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13FE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657A"/>
    <w:rsid w:val="00637C6D"/>
    <w:rsid w:val="00640BFF"/>
    <w:rsid w:val="00641929"/>
    <w:rsid w:val="00641E17"/>
    <w:rsid w:val="00644B82"/>
    <w:rsid w:val="006452B0"/>
    <w:rsid w:val="006503BF"/>
    <w:rsid w:val="00664023"/>
    <w:rsid w:val="0066599A"/>
    <w:rsid w:val="00670499"/>
    <w:rsid w:val="00671405"/>
    <w:rsid w:val="00674927"/>
    <w:rsid w:val="00674E87"/>
    <w:rsid w:val="006832C6"/>
    <w:rsid w:val="00684870"/>
    <w:rsid w:val="006850D4"/>
    <w:rsid w:val="00686A0E"/>
    <w:rsid w:val="006908B4"/>
    <w:rsid w:val="006921D4"/>
    <w:rsid w:val="0069621B"/>
    <w:rsid w:val="006A12A4"/>
    <w:rsid w:val="006A17DE"/>
    <w:rsid w:val="006A5088"/>
    <w:rsid w:val="006A5626"/>
    <w:rsid w:val="006B1357"/>
    <w:rsid w:val="006B4267"/>
    <w:rsid w:val="006C247E"/>
    <w:rsid w:val="006C6D32"/>
    <w:rsid w:val="006C6EE1"/>
    <w:rsid w:val="006C79D1"/>
    <w:rsid w:val="006D2C70"/>
    <w:rsid w:val="006D51D8"/>
    <w:rsid w:val="006D7221"/>
    <w:rsid w:val="006E0157"/>
    <w:rsid w:val="006E23DB"/>
    <w:rsid w:val="006E5544"/>
    <w:rsid w:val="006E5AA8"/>
    <w:rsid w:val="006E6B08"/>
    <w:rsid w:val="006E79AC"/>
    <w:rsid w:val="006E7E01"/>
    <w:rsid w:val="006F209E"/>
    <w:rsid w:val="006F2F16"/>
    <w:rsid w:val="006F3DFF"/>
    <w:rsid w:val="006F46F0"/>
    <w:rsid w:val="006F6951"/>
    <w:rsid w:val="006F69BA"/>
    <w:rsid w:val="006F6BC1"/>
    <w:rsid w:val="0070042A"/>
    <w:rsid w:val="00700959"/>
    <w:rsid w:val="0070262D"/>
    <w:rsid w:val="007034FE"/>
    <w:rsid w:val="007051D8"/>
    <w:rsid w:val="007059B8"/>
    <w:rsid w:val="00706B93"/>
    <w:rsid w:val="0070750F"/>
    <w:rsid w:val="00710C94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57199"/>
    <w:rsid w:val="007579F1"/>
    <w:rsid w:val="0076195D"/>
    <w:rsid w:val="00761BCE"/>
    <w:rsid w:val="0076267A"/>
    <w:rsid w:val="00764F36"/>
    <w:rsid w:val="00772FC7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1D7F"/>
    <w:rsid w:val="008038D2"/>
    <w:rsid w:val="00804A82"/>
    <w:rsid w:val="008050AF"/>
    <w:rsid w:val="008050DB"/>
    <w:rsid w:val="0081005A"/>
    <w:rsid w:val="008106C2"/>
    <w:rsid w:val="00811B6D"/>
    <w:rsid w:val="008127C5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4BB4"/>
    <w:rsid w:val="00835187"/>
    <w:rsid w:val="00836E56"/>
    <w:rsid w:val="00840304"/>
    <w:rsid w:val="00845390"/>
    <w:rsid w:val="00846A0B"/>
    <w:rsid w:val="00846B35"/>
    <w:rsid w:val="00851D39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45D9"/>
    <w:rsid w:val="008A0760"/>
    <w:rsid w:val="008A1E92"/>
    <w:rsid w:val="008A408D"/>
    <w:rsid w:val="008A4950"/>
    <w:rsid w:val="008A4A75"/>
    <w:rsid w:val="008B1D9D"/>
    <w:rsid w:val="008B4BD2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04E7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23DD"/>
    <w:rsid w:val="00996F1E"/>
    <w:rsid w:val="009A24DA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363AD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6FB0"/>
    <w:rsid w:val="00A77075"/>
    <w:rsid w:val="00A817BC"/>
    <w:rsid w:val="00A8311B"/>
    <w:rsid w:val="00A92C7F"/>
    <w:rsid w:val="00A9520D"/>
    <w:rsid w:val="00A95F8F"/>
    <w:rsid w:val="00A969DB"/>
    <w:rsid w:val="00AA47E8"/>
    <w:rsid w:val="00AA57B1"/>
    <w:rsid w:val="00AA5A8F"/>
    <w:rsid w:val="00AA71C2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51DD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75BC"/>
    <w:rsid w:val="00B619AF"/>
    <w:rsid w:val="00B6637D"/>
    <w:rsid w:val="00B674F3"/>
    <w:rsid w:val="00B71A9A"/>
    <w:rsid w:val="00B73887"/>
    <w:rsid w:val="00B77FD6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142D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BC6"/>
    <w:rsid w:val="00BF0D74"/>
    <w:rsid w:val="00BF2FCB"/>
    <w:rsid w:val="00C02C76"/>
    <w:rsid w:val="00C057CD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1D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402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191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97384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4BF4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320A"/>
    <w:rsid w:val="00D96291"/>
    <w:rsid w:val="00DA2034"/>
    <w:rsid w:val="00DA2590"/>
    <w:rsid w:val="00DA3EB4"/>
    <w:rsid w:val="00DA5B71"/>
    <w:rsid w:val="00DA6190"/>
    <w:rsid w:val="00DA7C3F"/>
    <w:rsid w:val="00DB2C8E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0CF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3049"/>
    <w:rsid w:val="00E2467C"/>
    <w:rsid w:val="00E279C2"/>
    <w:rsid w:val="00E30B9B"/>
    <w:rsid w:val="00E334E5"/>
    <w:rsid w:val="00E33FF0"/>
    <w:rsid w:val="00E33FF2"/>
    <w:rsid w:val="00E35B35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663EC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0F74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4D82"/>
    <w:rsid w:val="00F9057E"/>
    <w:rsid w:val="00F90584"/>
    <w:rsid w:val="00F90619"/>
    <w:rsid w:val="00F90B9C"/>
    <w:rsid w:val="00F91A5E"/>
    <w:rsid w:val="00F92261"/>
    <w:rsid w:val="00F92B76"/>
    <w:rsid w:val="00F93D08"/>
    <w:rsid w:val="00F96CC9"/>
    <w:rsid w:val="00F97B35"/>
    <w:rsid w:val="00FA0260"/>
    <w:rsid w:val="00FA6C42"/>
    <w:rsid w:val="00FA7EB0"/>
    <w:rsid w:val="00FB04A2"/>
    <w:rsid w:val="00FB056E"/>
    <w:rsid w:val="00FB0E8C"/>
    <w:rsid w:val="00FB13E1"/>
    <w:rsid w:val="00FB385F"/>
    <w:rsid w:val="00FB5706"/>
    <w:rsid w:val="00FB7887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E1B41"/>
    <w:rsid w:val="00FE50A0"/>
    <w:rsid w:val="00FF0191"/>
    <w:rsid w:val="00FF0949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15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unduszeuepomor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f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MPL-B5-UNIT@ec.europa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funduszeuepomorskie.pl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http://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6393-78B0-4E1F-99D7-54D359076B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63A6BE-C656-48B5-BD8D-BA8BE3E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17</TotalTime>
  <Pages>20</Pages>
  <Words>5629</Words>
  <Characters>37359</Characters>
  <Application>Microsoft Office Word</Application>
  <DocSecurity>0</DocSecurity>
  <Lines>311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Regulaminu_wzór umowy o partnerstwie</vt:lpstr>
    </vt:vector>
  </TitlesOfParts>
  <Company>UMWP</Company>
  <LinksUpToDate>false</LinksUpToDate>
  <CharactersWithSpaces>42903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Regulaminu_wzór umowy o partnerstwie</dc:title>
  <dc:subject>Wzór umowy o partnerstwie</dc:subject>
  <dc:creator>Twardokus Marcin</dc:creator>
  <cp:keywords>wzór;umowa;partnerstwo;regulamin;załacznik</cp:keywords>
  <dc:description/>
  <cp:lastModifiedBy>Mazur Aleksandra</cp:lastModifiedBy>
  <cp:revision>16</cp:revision>
  <cp:lastPrinted>2017-12-12T12:43:00Z</cp:lastPrinted>
  <dcterms:created xsi:type="dcterms:W3CDTF">2024-10-01T11:26:00Z</dcterms:created>
  <dcterms:modified xsi:type="dcterms:W3CDTF">2024-11-22T10:44:00Z</dcterms:modified>
</cp:coreProperties>
</file>