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29911" w14:textId="012BF799" w:rsidR="008B0BD4" w:rsidRPr="00954812" w:rsidRDefault="008B0BD4" w:rsidP="008B0BD4">
      <w:bookmarkStart w:id="0" w:name="_Hlk156906640"/>
      <w:r w:rsidRPr="00954812">
        <w:t>P</w:t>
      </w:r>
      <w:bookmarkStart w:id="1" w:name="_Hlk198129078"/>
      <w:r w:rsidRPr="00954812">
        <w:t>ytania i odpowiedzi z działania 6.3:</w:t>
      </w:r>
    </w:p>
    <w:p w14:paraId="6A06E762" w14:textId="77777777" w:rsidR="008B0BD4" w:rsidRPr="00954812" w:rsidRDefault="008B0BD4" w:rsidP="008B0BD4">
      <w:pPr>
        <w:pStyle w:val="Akapitzlist"/>
        <w:numPr>
          <w:ilvl w:val="0"/>
          <w:numId w:val="1"/>
        </w:numPr>
        <w:ind w:left="714" w:hanging="357"/>
        <w:contextualSpacing w:val="0"/>
        <w:rPr>
          <w:b/>
        </w:rPr>
      </w:pPr>
      <w:r w:rsidRPr="00954812">
        <w:rPr>
          <w:b/>
        </w:rPr>
        <w:t>Co powinna obejmować analiza występowania pomocy publicznej?</w:t>
      </w:r>
    </w:p>
    <w:p w14:paraId="25E77C03" w14:textId="77777777" w:rsidR="008B0BD4" w:rsidRPr="00954812" w:rsidRDefault="008B0BD4" w:rsidP="008B0BD4">
      <w:pPr>
        <w:pStyle w:val="Akapitzlist"/>
      </w:pPr>
      <w:r w:rsidRPr="00954812">
        <w:t>Analiza występowania pomocy publicznej w projekcie powinna zostać dokonana w oparciu o następujące przesłanki:</w:t>
      </w:r>
    </w:p>
    <w:p w14:paraId="3C8D37A9" w14:textId="77777777" w:rsidR="007470D7" w:rsidRPr="00954812" w:rsidRDefault="007470D7" w:rsidP="008B0BD4">
      <w:pPr>
        <w:pStyle w:val="Akapitzlist"/>
        <w:numPr>
          <w:ilvl w:val="2"/>
          <w:numId w:val="1"/>
        </w:numPr>
        <w:spacing w:after="0" w:line="276" w:lineRule="auto"/>
        <w:rPr>
          <w:rFonts w:ascii="Calibri" w:eastAsia="Times New Roman" w:hAnsi="Calibri" w:cs="Times New Roman"/>
          <w:bCs/>
          <w:lang w:eastAsia="pl-PL"/>
        </w:rPr>
      </w:pPr>
      <w:r w:rsidRPr="00954812">
        <w:rPr>
          <w:rFonts w:ascii="Calibri" w:eastAsia="Times New Roman" w:hAnsi="Calibri" w:cs="Times New Roman"/>
          <w:bCs/>
          <w:lang w:eastAsia="pl-PL"/>
        </w:rPr>
        <w:t>Wsparcie udzielane jest przedsiębiorstwu przez państwo lub ze źródeł państwowych:</w:t>
      </w:r>
    </w:p>
    <w:p w14:paraId="109D2D8F" w14:textId="77777777" w:rsidR="007470D7" w:rsidRPr="00954812" w:rsidRDefault="007470D7" w:rsidP="007470D7">
      <w:pPr>
        <w:spacing w:after="0" w:line="276" w:lineRule="auto"/>
        <w:ind w:left="360"/>
        <w:rPr>
          <w:rFonts w:ascii="Calibri" w:eastAsia="Times New Roman" w:hAnsi="Calibri" w:cs="Times New Roman"/>
          <w:bCs/>
          <w:lang w:eastAsia="pl-PL"/>
        </w:rPr>
      </w:pPr>
      <w:r w:rsidRPr="00954812">
        <w:rPr>
          <w:rFonts w:ascii="Calibri" w:eastAsia="Times New Roman" w:hAnsi="Calibri" w:cs="Times New Roman"/>
          <w:bCs/>
          <w:lang w:eastAsia="pl-PL"/>
        </w:rPr>
        <w:t>W analizie tej przesłanki należy wskazać i uzasadnić, czy:</w:t>
      </w:r>
    </w:p>
    <w:p w14:paraId="78E96E49" w14:textId="004899FC" w:rsidR="007470D7" w:rsidRPr="00954812" w:rsidRDefault="007470D7" w:rsidP="007470D7">
      <w:pPr>
        <w:numPr>
          <w:ilvl w:val="2"/>
          <w:numId w:val="2"/>
        </w:numPr>
        <w:spacing w:after="0" w:line="276" w:lineRule="auto"/>
        <w:ind w:left="1134"/>
        <w:contextualSpacing/>
        <w:rPr>
          <w:rFonts w:ascii="Calibri" w:eastAsia="Times New Roman" w:hAnsi="Calibri" w:cs="Times New Roman"/>
          <w:bCs/>
          <w:lang w:eastAsia="pl-PL"/>
        </w:rPr>
      </w:pPr>
      <w:r w:rsidRPr="00954812">
        <w:rPr>
          <w:rFonts w:ascii="Calibri" w:eastAsia="Times New Roman" w:hAnsi="Calibri" w:cs="Times New Roman"/>
          <w:bCs/>
          <w:lang w:eastAsia="pl-PL"/>
        </w:rPr>
        <w:t>wsparcie udzielane jest przedsiębiorstwu (tj. w ramach działalności gospodarczej wnioskodawcy/beneficjenta),</w:t>
      </w:r>
    </w:p>
    <w:p w14:paraId="2E38CE39" w14:textId="77777777" w:rsidR="007470D7" w:rsidRPr="00954812" w:rsidRDefault="007470D7" w:rsidP="007470D7">
      <w:pPr>
        <w:numPr>
          <w:ilvl w:val="2"/>
          <w:numId w:val="2"/>
        </w:numPr>
        <w:spacing w:after="120" w:line="276" w:lineRule="auto"/>
        <w:ind w:left="1134" w:hanging="181"/>
        <w:contextualSpacing/>
        <w:rPr>
          <w:rFonts w:ascii="Calibri" w:eastAsia="Times New Roman" w:hAnsi="Calibri" w:cs="Times New Roman"/>
          <w:bCs/>
          <w:lang w:eastAsia="pl-PL"/>
        </w:rPr>
      </w:pPr>
      <w:r w:rsidRPr="00954812">
        <w:rPr>
          <w:rFonts w:ascii="Calibri" w:eastAsia="Times New Roman" w:hAnsi="Calibri" w:cs="Times New Roman"/>
          <w:bCs/>
          <w:lang w:eastAsia="pl-PL"/>
        </w:rPr>
        <w:t>wsparcie udzielane jest przez państwo lub ze źródeł państwowych.</w:t>
      </w:r>
    </w:p>
    <w:p w14:paraId="544C232B" w14:textId="77777777" w:rsidR="007470D7" w:rsidRPr="00954812" w:rsidRDefault="007470D7" w:rsidP="007470D7">
      <w:pPr>
        <w:spacing w:after="0" w:line="276" w:lineRule="auto"/>
        <w:ind w:firstLine="284"/>
        <w:rPr>
          <w:rFonts w:ascii="Calibri" w:eastAsia="Times New Roman" w:hAnsi="Calibri" w:cs="Times New Roman"/>
          <w:lang w:eastAsia="pl-PL"/>
        </w:rPr>
      </w:pPr>
      <w:r w:rsidRPr="00954812">
        <w:rPr>
          <w:rFonts w:ascii="Calibri" w:eastAsia="Times New Roman" w:hAnsi="Calibri" w:cs="Times New Roman"/>
          <w:bCs/>
          <w:lang w:eastAsia="pl-PL"/>
        </w:rPr>
        <w:t xml:space="preserve">Ad a) W pierwszej kolejności zatem należy przeanalizować, czy podmiot realizujący projekt jest </w:t>
      </w:r>
      <w:r w:rsidRPr="00954812">
        <w:rPr>
          <w:rFonts w:ascii="Calibri" w:eastAsia="Times New Roman" w:hAnsi="Calibri" w:cs="Times New Roman"/>
          <w:bCs/>
          <w:spacing w:val="20"/>
          <w:lang w:eastAsia="pl-PL"/>
        </w:rPr>
        <w:t>przedsiębiorcą</w:t>
      </w:r>
      <w:r w:rsidRPr="00954812">
        <w:rPr>
          <w:rFonts w:ascii="Calibri" w:eastAsia="Times New Roman" w:hAnsi="Calibri" w:cs="Times New Roman"/>
          <w:bCs/>
          <w:lang w:eastAsia="pl-PL"/>
        </w:rPr>
        <w:t xml:space="preserve"> w rozumieniu unijnego prawa pomocy publicznej, za którego uważany jest</w:t>
      </w:r>
      <w:r w:rsidRPr="00954812">
        <w:rPr>
          <w:rFonts w:ascii="Calibri" w:eastAsia="Times New Roman" w:hAnsi="Calibri" w:cs="Times New Roman"/>
          <w:lang w:eastAsia="pl-PL"/>
        </w:rPr>
        <w:t xml:space="preserve"> </w:t>
      </w:r>
      <w:r w:rsidRPr="00954812">
        <w:rPr>
          <w:rFonts w:ascii="Calibri" w:eastAsia="Times New Roman" w:hAnsi="Calibri" w:cs="Times New Roman"/>
          <w:spacing w:val="20"/>
          <w:lang w:eastAsia="pl-PL"/>
        </w:rPr>
        <w:t>każdy podmiot prowadzący działalność gospodarczą, bez względu na jego status i sposób finansowania</w:t>
      </w:r>
      <w:r w:rsidRPr="00954812">
        <w:rPr>
          <w:rFonts w:ascii="Calibri" w:eastAsia="Times New Roman" w:hAnsi="Calibri" w:cs="Times New Roman"/>
          <w:lang w:eastAsia="pl-PL"/>
        </w:rPr>
        <w:t>.</w:t>
      </w:r>
      <w:r w:rsidRPr="0095481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4812">
        <w:rPr>
          <w:rFonts w:ascii="Calibri" w:eastAsia="Times New Roman" w:hAnsi="Calibri" w:cs="Times New Roman"/>
          <w:spacing w:val="20"/>
          <w:lang w:eastAsia="pl-PL"/>
        </w:rPr>
        <w:t>Działalność gospodarcza</w:t>
      </w:r>
      <w:r w:rsidRPr="00954812">
        <w:rPr>
          <w:rFonts w:ascii="Calibri" w:eastAsia="Times New Roman" w:hAnsi="Calibri" w:cs="Times New Roman"/>
          <w:lang w:eastAsia="pl-PL"/>
        </w:rPr>
        <w:t xml:space="preserve"> definiowana jest zaś jako </w:t>
      </w:r>
      <w:r w:rsidRPr="00954812">
        <w:rPr>
          <w:rFonts w:ascii="Calibri" w:eastAsia="Times New Roman" w:hAnsi="Calibri" w:cs="Times New Roman"/>
          <w:spacing w:val="20"/>
          <w:lang w:eastAsia="pl-PL"/>
        </w:rPr>
        <w:t>każda działalność polegająca na oferowaniu towarów lub usług na rynku, a więc zasadniczo za odpłatnością</w:t>
      </w:r>
      <w:r w:rsidRPr="00954812">
        <w:rPr>
          <w:rFonts w:ascii="Calibri" w:eastAsia="Times New Roman" w:hAnsi="Calibri" w:cs="Times New Roman"/>
          <w:lang w:eastAsia="pl-PL"/>
        </w:rPr>
        <w:t xml:space="preserve"> (czyli jako świadczenie wzajemne za usługę). Dla stwierdzenia</w:t>
      </w:r>
      <w:r w:rsidRPr="0095481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4812">
        <w:rPr>
          <w:rFonts w:ascii="Calibri" w:eastAsia="Times New Roman" w:hAnsi="Calibri" w:cs="Times New Roman"/>
          <w:lang w:eastAsia="pl-PL"/>
        </w:rPr>
        <w:t>iż dany podmiot jest przedsiębiorstwem, nie ma znaczenia jego forma prawna, tak więc, także podmioty non-profit oraz non-for-profit mogą być uznawane za prowadzące działalność gospodarczą, jeśli oferują towary lub usługi na rynku.</w:t>
      </w:r>
    </w:p>
    <w:p w14:paraId="07EE06E2" w14:textId="2C1024BA" w:rsidR="007470D7" w:rsidRPr="00954812" w:rsidRDefault="007470D7" w:rsidP="007470D7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954812">
        <w:rPr>
          <w:rFonts w:ascii="Calibri" w:eastAsia="Times New Roman" w:hAnsi="Calibri" w:cs="Times New Roman"/>
          <w:lang w:eastAsia="pl-PL"/>
        </w:rPr>
        <w:t>W ramach działalności wnioskodawcy może zdarzyć się sytuacja, że infrastruktura</w:t>
      </w:r>
      <w:r w:rsidR="00F9744E" w:rsidRPr="00954812">
        <w:rPr>
          <w:rFonts w:ascii="Calibri" w:eastAsia="Times New Roman" w:hAnsi="Calibri" w:cs="Times New Roman"/>
          <w:lang w:eastAsia="pl-PL"/>
        </w:rPr>
        <w:t xml:space="preserve"> społeczna na rzecz mieszkalnictwa treningowego i wspomaganego</w:t>
      </w:r>
      <w:r w:rsidRPr="00954812">
        <w:rPr>
          <w:rFonts w:ascii="Calibri" w:eastAsia="Times New Roman" w:hAnsi="Calibri" w:cs="Times New Roman"/>
          <w:lang w:eastAsia="pl-PL"/>
        </w:rPr>
        <w:t xml:space="preserve"> jest użytkowana zarówno do prowadzenia działalności gospodarczej, jak i niegospodarczej.</w:t>
      </w:r>
      <w:r w:rsidRPr="0095481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4812">
        <w:rPr>
          <w:rFonts w:ascii="Calibri" w:eastAsia="Times New Roman" w:hAnsi="Calibri" w:cs="Times New Roman"/>
          <w:lang w:eastAsia="pl-PL"/>
        </w:rPr>
        <w:t>Fakt, że cały przychód wygenerowany w ramach działalności odpłatnej jest przeznaczany na pokrycie kosztów podstawowej działalności o charakterze niegospodarczym, nie powoduje, że ta odpłatna działalność ma charakter niegospodarczy. W takim przypadku finansowanie publiczne będzie podlegało zasadom pomocy publicznej wyłącznie w zakresie, w jakim będzie obejmowało koszty związane z działalnością gospodarczą. Jeżeli możliwe jest oddzielenie kosztów i przychodów związanych z działalnością gospodarczą i niegospodarczą, zasady pomocy publicznej mają zastosowanie wyłącznie w odniesieniu do przyznanego wsparcia ze strony państwa w kwocie przewyższającej koszty prowadzenia działalności niegospodarczej. Koszty i dochody z każdego rodzaju działalności należy rozliczać osobno, konsekwentnie stosując obiektywnie uzasadnione zasady rachunku kosztów.</w:t>
      </w:r>
    </w:p>
    <w:p w14:paraId="518AD2E8" w14:textId="6017C28F" w:rsidR="007470D7" w:rsidRPr="00954812" w:rsidRDefault="007470D7" w:rsidP="007470D7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954812">
        <w:rPr>
          <w:rFonts w:ascii="Calibri" w:eastAsia="Times New Roman" w:hAnsi="Calibri" w:cs="Times New Roman"/>
          <w:lang w:eastAsia="pl-PL"/>
        </w:rPr>
        <w:t xml:space="preserve">W przypadkach, gdy infrastruktura wykorzystywana jest prawie wyłącznie do celów działalności niegospodarczej - uznaje się, że finansowanie takiej infrastruktury może być wyłączone z zasad pomocy państwa, pod warunkiem że </w:t>
      </w:r>
      <w:r w:rsidRPr="00954812">
        <w:rPr>
          <w:rFonts w:ascii="Calibri" w:eastAsia="Times New Roman" w:hAnsi="Calibri" w:cs="Times New Roman"/>
          <w:spacing w:val="20"/>
          <w:lang w:eastAsia="pl-PL"/>
        </w:rPr>
        <w:t>użytkowanie do celów działalności gospodarczej ma charakter</w:t>
      </w:r>
      <w:r w:rsidRPr="00954812">
        <w:rPr>
          <w:rFonts w:ascii="Calibri" w:eastAsia="Times New Roman" w:hAnsi="Calibri" w:cs="Times New Roman"/>
          <w:lang w:eastAsia="pl-PL"/>
        </w:rPr>
        <w:t xml:space="preserve"> </w:t>
      </w:r>
      <w:r w:rsidRPr="00954812">
        <w:rPr>
          <w:rFonts w:ascii="Calibri" w:eastAsia="Times New Roman" w:hAnsi="Calibri" w:cs="Times New Roman"/>
          <w:spacing w:val="20"/>
          <w:lang w:eastAsia="pl-PL"/>
        </w:rPr>
        <w:t>czysto pomocniczy</w:t>
      </w:r>
      <w:r w:rsidRPr="00954812">
        <w:rPr>
          <w:rFonts w:ascii="Calibri" w:eastAsia="Times New Roman" w:hAnsi="Calibri" w:cs="Times New Roman"/>
          <w:lang w:eastAsia="pl-PL"/>
        </w:rPr>
        <w:t>, wobec działalności podstawowej związanej z</w:t>
      </w:r>
      <w:r w:rsidR="00550F4D" w:rsidRPr="00954812">
        <w:rPr>
          <w:rFonts w:ascii="Calibri" w:eastAsia="Times New Roman" w:hAnsi="Calibri" w:cs="Times New Roman"/>
          <w:lang w:eastAsia="pl-PL"/>
        </w:rPr>
        <w:t xml:space="preserve"> </w:t>
      </w:r>
      <w:r w:rsidR="00804361" w:rsidRPr="00954812">
        <w:rPr>
          <w:rFonts w:ascii="Calibri" w:eastAsia="Times New Roman" w:hAnsi="Calibri" w:cs="Times New Roman"/>
          <w:lang w:eastAsia="pl-PL"/>
        </w:rPr>
        <w:t xml:space="preserve">kwalifikowalnymi </w:t>
      </w:r>
      <w:r w:rsidR="00550F4D" w:rsidRPr="00954812">
        <w:rPr>
          <w:rFonts w:ascii="Calibri" w:eastAsia="Times New Roman" w:hAnsi="Calibri" w:cs="Times New Roman"/>
          <w:lang w:eastAsia="pl-PL"/>
        </w:rPr>
        <w:t>usługami społecznymi</w:t>
      </w:r>
      <w:r w:rsidRPr="00954812">
        <w:rPr>
          <w:rFonts w:ascii="Calibri" w:eastAsia="Times New Roman" w:hAnsi="Calibri" w:cs="Times New Roman"/>
          <w:lang w:eastAsia="pl-PL"/>
        </w:rPr>
        <w:t>, o których mowa w opisie Działania SZOP i zapisach regulaminu wyboru projektów. Działalność gospodarcza o charakterze pomocniczym musi mieć ograniczony zakres, w odniesieniu do wydajności infrastruktury.</w:t>
      </w:r>
      <w:r w:rsidR="0023095F" w:rsidRPr="00954812">
        <w:rPr>
          <w:rFonts w:ascii="Calibri" w:eastAsia="Times New Roman" w:hAnsi="Calibri" w:cs="Times New Roman"/>
          <w:lang w:eastAsia="pl-PL"/>
        </w:rPr>
        <w:t xml:space="preserve"> Użytkowanie infrastruktury do celów gospodarczych można uznać za działalność pomocniczą, jeżeli wydajność przydzielana co roku na taką działalność nie przekracza 20 % całkowitej rocznej wydajności infrastruktury. Nie ma przy tym jednej metodologii obliczania parametru „20% całkowitych rocznych zasobów/wydajności danego podmiotu”. Można tu wykorzystać np. takie wskaźniki, jak powierzchnia infrastruktury, czas jej użytkowania, czy wartość nakładów absorbowanych przez infrastrukturę. Wykluczone jest  wykorzystanie jako wskaźników przychodów lub dochodów osiąganych z działalności gospodarczej i niegospodarczej. Wyboru wskaźnika najbardziej oddającego specyfikę danego rodzaju infrastruktury musi dokonać </w:t>
      </w:r>
      <w:r w:rsidR="0023095F" w:rsidRPr="00954812">
        <w:rPr>
          <w:rFonts w:ascii="Calibri" w:eastAsia="Times New Roman" w:hAnsi="Calibri" w:cs="Times New Roman"/>
          <w:lang w:eastAsia="pl-PL"/>
        </w:rPr>
        <w:lastRenderedPageBreak/>
        <w:t>wnioskodawca/beneficjent, zaś Instytucja Zarządzająca FEP 2021-2027 sprawdzi, czy nie został tu popełniony błąd metodologiczny.</w:t>
      </w:r>
    </w:p>
    <w:p w14:paraId="55CA0112" w14:textId="77777777" w:rsidR="007470D7" w:rsidRPr="00954812" w:rsidRDefault="007470D7" w:rsidP="007470D7">
      <w:pPr>
        <w:spacing w:after="240" w:line="276" w:lineRule="auto"/>
        <w:ind w:firstLine="360"/>
        <w:rPr>
          <w:rFonts w:ascii="Calibri" w:eastAsia="Times New Roman" w:hAnsi="Calibri" w:cs="Times New Roman"/>
          <w:bCs/>
          <w:lang w:eastAsia="pl-PL"/>
        </w:rPr>
      </w:pPr>
      <w:r w:rsidRPr="00954812">
        <w:rPr>
          <w:rFonts w:ascii="Calibri" w:eastAsia="Times New Roman" w:hAnsi="Calibri" w:cs="Times New Roman"/>
          <w:lang w:eastAsia="pl-PL"/>
        </w:rPr>
        <w:t>Ad. b)</w:t>
      </w:r>
      <w:r w:rsidRPr="00954812">
        <w:rPr>
          <w:rFonts w:ascii="Calibri" w:eastAsia="Times New Roman" w:hAnsi="Calibri" w:cs="Times New Roman"/>
          <w:bCs/>
          <w:lang w:eastAsia="pl-PL"/>
        </w:rPr>
        <w:t xml:space="preserve"> Środki pochodzące z funduszy europejskich stanowią środki przyznawane z zasobów państwowych. Przydział tych środków zależy zatem od decyzji państwa członkowskiego, które jest odpowiedzialne za wdrażanie danego programu. Tak więc wszystkie środki, o które ubiega się wnioskodawca i ewentualnie uzyska beneficjent z FEP 2021-2027, będą pochodziły z zasobów państwowych. Ta przesłanka występowania pomocy publicznej będzie zatem zawsze spełniona.</w:t>
      </w:r>
    </w:p>
    <w:p w14:paraId="4197F3DE" w14:textId="77777777" w:rsidR="007470D7" w:rsidRPr="00954812" w:rsidRDefault="007470D7" w:rsidP="007470D7">
      <w:pPr>
        <w:numPr>
          <w:ilvl w:val="0"/>
          <w:numId w:val="1"/>
        </w:numPr>
        <w:spacing w:after="0" w:line="276" w:lineRule="auto"/>
        <w:contextualSpacing/>
        <w:rPr>
          <w:rFonts w:ascii="Calibri" w:eastAsia="Times New Roman" w:hAnsi="Calibri" w:cs="Times New Roman"/>
          <w:bCs/>
          <w:lang w:eastAsia="pl-PL"/>
        </w:rPr>
      </w:pPr>
      <w:r w:rsidRPr="00954812">
        <w:rPr>
          <w:rFonts w:ascii="Calibri" w:eastAsia="Times New Roman" w:hAnsi="Calibri" w:cs="Times New Roman"/>
          <w:bCs/>
          <w:lang w:eastAsia="pl-PL"/>
        </w:rPr>
        <w:t>Wsparcie powoduje uzyskanie przez przedsiębiorstwo przysporzenia na warunkach korzystniejszych od rynkowych:</w:t>
      </w:r>
    </w:p>
    <w:p w14:paraId="7D736DCD" w14:textId="77777777" w:rsidR="007470D7" w:rsidRPr="00954812" w:rsidRDefault="007470D7" w:rsidP="007470D7">
      <w:pPr>
        <w:spacing w:after="120" w:line="276" w:lineRule="auto"/>
        <w:rPr>
          <w:rFonts w:ascii="Calibri" w:eastAsia="Times New Roman" w:hAnsi="Calibri" w:cs="Times New Roman"/>
          <w:bCs/>
          <w:lang w:eastAsia="pl-PL"/>
        </w:rPr>
      </w:pPr>
      <w:r w:rsidRPr="00954812">
        <w:rPr>
          <w:rFonts w:ascii="Calibri" w:eastAsia="Times New Roman" w:hAnsi="Calibri" w:cs="Times New Roman"/>
          <w:bCs/>
          <w:lang w:eastAsia="pl-PL"/>
        </w:rPr>
        <w:t>Analizując tą przesłankę należy wziąć pod uwagę, że korzyść występuje zawsze, gdy sytuacja finansowa przedsiębiorstwa ulega poprawie w wyniku interwencji państwa. A zatem, w celu oceny występowania korzyści ekonomicznej, trzeba porównać sytuację finansową przedsiębiorstwa po zastosowaniu danego środka pomocowego z sytuacją finansową przedsiębiorstwa w sytuacji braku zastosowania środka. Środki przyznawane z FEP 2021-2027 będą miały zasadniczo charakter interwencji na warunkach korzystniejszych niż panujące na rynku, zwłaszcza w przypadkach, gdy dofinansowanie będzie udzielane w formie bezzwrotnej dotacji. Będzie ono zatem korzystniejsze od finansowania możliwego do uzyskania na rynkach finansowych, gdzie przedsiębiorca w ogóle nie uzyskałby bezzwrotnego wsparcia. Dlatego też przesłanka korzyści będzie zasadniczo spełniona.</w:t>
      </w:r>
    </w:p>
    <w:p w14:paraId="50484FBA" w14:textId="77777777" w:rsidR="007470D7" w:rsidRPr="00954812" w:rsidRDefault="007470D7" w:rsidP="007470D7">
      <w:pPr>
        <w:numPr>
          <w:ilvl w:val="0"/>
          <w:numId w:val="1"/>
        </w:numPr>
        <w:spacing w:after="0" w:line="276" w:lineRule="auto"/>
        <w:contextualSpacing/>
        <w:rPr>
          <w:rFonts w:ascii="Calibri" w:eastAsia="Times New Roman" w:hAnsi="Calibri" w:cs="Times New Roman"/>
          <w:bCs/>
          <w:lang w:eastAsia="pl-PL"/>
        </w:rPr>
      </w:pPr>
      <w:r w:rsidRPr="00954812">
        <w:rPr>
          <w:rFonts w:ascii="Calibri" w:eastAsia="Times New Roman" w:hAnsi="Calibri" w:cs="Times New Roman"/>
          <w:bCs/>
          <w:lang w:eastAsia="pl-PL"/>
        </w:rPr>
        <w:t>Wsparcie ma charakter selektywny (uprzywilejowuje określone przedsiębiorstwa albo produkcję określonych towarów):</w:t>
      </w:r>
    </w:p>
    <w:p w14:paraId="01276EF6" w14:textId="77777777" w:rsidR="007470D7" w:rsidRPr="00954812" w:rsidRDefault="007470D7" w:rsidP="007470D7">
      <w:pPr>
        <w:spacing w:after="0" w:line="276" w:lineRule="auto"/>
        <w:rPr>
          <w:rFonts w:ascii="Calibri" w:eastAsia="Times New Roman" w:hAnsi="Calibri" w:cs="Times New Roman"/>
          <w:bCs/>
          <w:lang w:eastAsia="pl-PL"/>
        </w:rPr>
      </w:pPr>
      <w:r w:rsidRPr="00954812">
        <w:rPr>
          <w:rFonts w:ascii="Calibri" w:eastAsia="Times New Roman" w:hAnsi="Calibri" w:cs="Times New Roman"/>
          <w:bCs/>
          <w:lang w:eastAsia="pl-PL"/>
        </w:rPr>
        <w:t xml:space="preserve">Pomoc publiczna występuje w przypadku środków wsparcia, które przynoszą korzyść określonym przedsiębiorstwom lub kategoriom przedsiębiorstw albo określonym sektorom gospodarki. Za </w:t>
      </w:r>
      <w:r w:rsidRPr="00954812">
        <w:rPr>
          <w:rFonts w:ascii="Calibri" w:eastAsia="Times New Roman" w:hAnsi="Calibri" w:cs="Times New Roman"/>
          <w:bCs/>
          <w:spacing w:val="20"/>
          <w:lang w:eastAsia="pl-PL"/>
        </w:rPr>
        <w:t>selektywne</w:t>
      </w:r>
      <w:r w:rsidRPr="00954812">
        <w:rPr>
          <w:rFonts w:ascii="Calibri" w:eastAsia="Times New Roman" w:hAnsi="Calibri" w:cs="Times New Roman"/>
          <w:bCs/>
          <w:lang w:eastAsia="pl-PL"/>
        </w:rPr>
        <w:t xml:space="preserve"> mogą być uznane także środki wsparcia, które sprzyjają przedsiębiorstwom prowadzącym działalność w określonej części terytorium danego państwa członkowskiego (jest to tzw. selektywność regionalna). W kontekście środków pochodzących z FEP 2021-2027 należy wskazać, że Instytucja Zarządzająca FEP 2021-2027 posiada taką swobodę w określaniu katalogu podmiotów mogących otrzymać dofinansowanie. Dlatego zawsze spełniona będzie przesłanka selektywności.</w:t>
      </w:r>
    </w:p>
    <w:p w14:paraId="60D8856B" w14:textId="77777777" w:rsidR="007470D7" w:rsidRPr="00954812" w:rsidRDefault="007470D7" w:rsidP="007470D7">
      <w:pPr>
        <w:numPr>
          <w:ilvl w:val="0"/>
          <w:numId w:val="1"/>
        </w:numPr>
        <w:spacing w:after="0" w:line="276" w:lineRule="auto"/>
        <w:contextualSpacing/>
        <w:rPr>
          <w:rFonts w:ascii="Calibri" w:eastAsia="Times New Roman" w:hAnsi="Calibri" w:cs="Times New Roman"/>
          <w:bCs/>
          <w:lang w:eastAsia="pl-PL"/>
        </w:rPr>
      </w:pPr>
      <w:r w:rsidRPr="00954812">
        <w:rPr>
          <w:rFonts w:ascii="Calibri" w:eastAsia="Times New Roman" w:hAnsi="Calibri" w:cs="Times New Roman"/>
          <w:bCs/>
          <w:lang w:eastAsia="pl-PL"/>
        </w:rPr>
        <w:t>Wsparcie grozi zakłóceniem lub zakłóca konkurencję oraz wpływa na wymianę handlową między państwami członkowskimi Unii Europejskiej:</w:t>
      </w:r>
    </w:p>
    <w:p w14:paraId="6D834099" w14:textId="77777777" w:rsidR="007470D7" w:rsidRPr="00954812" w:rsidRDefault="007470D7" w:rsidP="007470D7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954812">
        <w:rPr>
          <w:rFonts w:ascii="Calibri" w:eastAsia="Times New Roman" w:hAnsi="Calibri" w:cs="Times New Roman"/>
          <w:bCs/>
          <w:lang w:eastAsia="pl-PL"/>
        </w:rPr>
        <w:t>Analiza wskazanych w tej przesłance aspektów zazwyczaj odbywa się łącznie.</w:t>
      </w:r>
    </w:p>
    <w:p w14:paraId="5F521402" w14:textId="77777777" w:rsidR="007470D7" w:rsidRPr="00954812" w:rsidRDefault="007470D7" w:rsidP="007470D7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954812">
        <w:rPr>
          <w:rFonts w:ascii="Calibri" w:eastAsia="Times New Roman" w:hAnsi="Calibri" w:cs="Times New Roman"/>
          <w:bCs/>
          <w:lang w:eastAsia="pl-PL"/>
        </w:rPr>
        <w:t xml:space="preserve">Uznaje się, że środek przyznany przez państwo stwarza groźbę naruszenia konkurencji, jeżeli </w:t>
      </w:r>
      <w:r w:rsidRPr="00954812">
        <w:rPr>
          <w:rFonts w:ascii="Calibri" w:eastAsia="Times New Roman" w:hAnsi="Calibri" w:cs="Times New Roman"/>
          <w:bCs/>
          <w:spacing w:val="20"/>
          <w:lang w:eastAsia="pl-PL"/>
        </w:rPr>
        <w:t>może powodować poprawę pozycji konkurencyjnej beneficjenta</w:t>
      </w:r>
      <w:r w:rsidRPr="00954812">
        <w:rPr>
          <w:rFonts w:ascii="Calibri" w:eastAsia="Times New Roman" w:hAnsi="Calibri" w:cs="Times New Roman"/>
          <w:bCs/>
          <w:lang w:eastAsia="pl-PL"/>
        </w:rPr>
        <w:t xml:space="preserve"> w porównaniu z pozycją innych przedsiębiorstw, z którymi beneficjent konkuruje. Zakłócenie konkurencji w wyniku udzielenia wsparcia </w:t>
      </w:r>
      <w:r w:rsidRPr="00954812">
        <w:rPr>
          <w:rFonts w:ascii="Calibri" w:eastAsia="Times New Roman" w:hAnsi="Calibri" w:cs="Times New Roman"/>
          <w:bCs/>
          <w:spacing w:val="20"/>
          <w:lang w:eastAsia="pl-PL"/>
        </w:rPr>
        <w:t>nie musi być rzeczywiste</w:t>
      </w:r>
      <w:r w:rsidRPr="00954812">
        <w:rPr>
          <w:rFonts w:ascii="Calibri" w:eastAsia="Times New Roman" w:hAnsi="Calibri" w:cs="Times New Roman"/>
          <w:bCs/>
          <w:lang w:eastAsia="pl-PL"/>
        </w:rPr>
        <w:t>, tzn. że wystarczy sama groźba zakłócenia konkurencji lub potencjalne zakłócenie konkurencji.</w:t>
      </w:r>
    </w:p>
    <w:p w14:paraId="6AD67641" w14:textId="77777777" w:rsidR="007470D7" w:rsidRPr="00954812" w:rsidRDefault="007470D7" w:rsidP="007470D7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954812">
        <w:rPr>
          <w:rFonts w:ascii="Calibri" w:eastAsia="Times New Roman" w:hAnsi="Calibri" w:cs="Times New Roman"/>
          <w:bCs/>
          <w:lang w:eastAsia="pl-PL"/>
        </w:rPr>
        <w:t>Fakt, że kwota pomocy jest niewielka lub że przedsiębiorstwo będące wnioskodawcą projektu (beneficjentem) jest małe, nie wyklucza sam w sobie zakłócenia konkurencji lub groźby zakłócenia konkurencji, pod warunkiem jednak, że prawdopodobieństwo takiego zakłócenia nie jest jedynie hipotetyczne.</w:t>
      </w:r>
    </w:p>
    <w:p w14:paraId="40837A2C" w14:textId="77777777" w:rsidR="007470D7" w:rsidRPr="00954812" w:rsidRDefault="007470D7" w:rsidP="007470D7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954812">
        <w:rPr>
          <w:rFonts w:ascii="Calibri" w:eastAsia="Times New Roman" w:hAnsi="Calibri" w:cs="Times New Roman"/>
          <w:bCs/>
          <w:lang w:eastAsia="pl-PL"/>
        </w:rPr>
        <w:t>Cechy, które co do zasady powinna mieć dana działalność, by przesłanki groźby zakłócenia konkurencji oraz wpływu na wymianę handlową nie były spełnione to:</w:t>
      </w:r>
    </w:p>
    <w:p w14:paraId="0EF2CCD1" w14:textId="77777777" w:rsidR="007470D7" w:rsidRPr="00954812" w:rsidRDefault="007470D7" w:rsidP="007470D7">
      <w:pPr>
        <w:numPr>
          <w:ilvl w:val="1"/>
          <w:numId w:val="3"/>
        </w:numPr>
        <w:spacing w:after="120" w:line="276" w:lineRule="auto"/>
        <w:ind w:left="993"/>
        <w:contextualSpacing/>
        <w:rPr>
          <w:rFonts w:ascii="Calibri" w:eastAsia="Times New Roman" w:hAnsi="Calibri" w:cs="Times New Roman"/>
          <w:bCs/>
          <w:lang w:eastAsia="pl-PL"/>
        </w:rPr>
      </w:pPr>
      <w:r w:rsidRPr="00954812">
        <w:rPr>
          <w:rFonts w:ascii="Calibri" w:eastAsia="Times New Roman" w:hAnsi="Calibri" w:cs="Times New Roman"/>
          <w:bCs/>
          <w:lang w:eastAsia="pl-PL"/>
        </w:rPr>
        <w:t>pomoc nie prowadzi do przyciągania popytu ani inwestycji do danego regionu i nie stwarza przeszkód dla zakładania przedsiębiorstw przez podmioty z innych państw członkowskich;</w:t>
      </w:r>
    </w:p>
    <w:p w14:paraId="13A837CF" w14:textId="77777777" w:rsidR="007470D7" w:rsidRPr="00954812" w:rsidRDefault="007470D7" w:rsidP="007470D7">
      <w:pPr>
        <w:numPr>
          <w:ilvl w:val="1"/>
          <w:numId w:val="3"/>
        </w:numPr>
        <w:spacing w:after="120" w:line="276" w:lineRule="auto"/>
        <w:ind w:left="993"/>
        <w:contextualSpacing/>
        <w:rPr>
          <w:rFonts w:ascii="Calibri" w:eastAsia="Times New Roman" w:hAnsi="Calibri" w:cs="Times New Roman"/>
          <w:bCs/>
          <w:lang w:eastAsia="pl-PL"/>
        </w:rPr>
      </w:pPr>
      <w:r w:rsidRPr="00954812">
        <w:rPr>
          <w:rFonts w:ascii="Calibri" w:eastAsia="Times New Roman" w:hAnsi="Calibri" w:cs="Times New Roman"/>
          <w:bCs/>
          <w:lang w:eastAsia="pl-PL"/>
        </w:rPr>
        <w:lastRenderedPageBreak/>
        <w:t xml:space="preserve">towary wytwarzane przez wnioskodawcę (beneficjenta) lub świadczone przez niego usługi </w:t>
      </w:r>
      <w:r w:rsidRPr="00954812">
        <w:rPr>
          <w:rFonts w:ascii="Calibri" w:eastAsia="Times New Roman" w:hAnsi="Calibri" w:cs="Times New Roman"/>
          <w:bCs/>
          <w:spacing w:val="20"/>
          <w:lang w:eastAsia="pl-PL"/>
        </w:rPr>
        <w:t>mają charakter lokalny</w:t>
      </w:r>
      <w:r w:rsidRPr="00954812">
        <w:rPr>
          <w:rFonts w:ascii="Calibri" w:eastAsia="Times New Roman" w:hAnsi="Calibri" w:cs="Times New Roman"/>
          <w:bCs/>
          <w:lang w:eastAsia="pl-PL"/>
        </w:rPr>
        <w:t xml:space="preserve"> lub budzą zainteresowanie tylko na określonym obszarze geograficznym;</w:t>
      </w:r>
    </w:p>
    <w:p w14:paraId="3771B76C" w14:textId="77777777" w:rsidR="007470D7" w:rsidRPr="00954812" w:rsidRDefault="007470D7" w:rsidP="007470D7">
      <w:pPr>
        <w:numPr>
          <w:ilvl w:val="1"/>
          <w:numId w:val="3"/>
        </w:numPr>
        <w:spacing w:after="120" w:line="276" w:lineRule="auto"/>
        <w:ind w:left="993"/>
        <w:contextualSpacing/>
        <w:rPr>
          <w:rFonts w:ascii="Calibri" w:eastAsia="Times New Roman" w:hAnsi="Calibri" w:cs="Times New Roman"/>
          <w:bCs/>
          <w:lang w:eastAsia="pl-PL"/>
        </w:rPr>
      </w:pPr>
      <w:r w:rsidRPr="00954812">
        <w:rPr>
          <w:rFonts w:ascii="Calibri" w:eastAsia="Times New Roman" w:hAnsi="Calibri" w:cs="Times New Roman"/>
          <w:bCs/>
          <w:lang w:eastAsia="pl-PL"/>
        </w:rPr>
        <w:t xml:space="preserve">wpływ na rynki i konsumentów z sąsiednich państw członkowskich jest co najwyżej </w:t>
      </w:r>
      <w:r w:rsidRPr="00954812">
        <w:rPr>
          <w:rFonts w:ascii="Calibri" w:eastAsia="Times New Roman" w:hAnsi="Calibri" w:cs="Times New Roman"/>
          <w:bCs/>
          <w:spacing w:val="20"/>
          <w:lang w:eastAsia="pl-PL"/>
        </w:rPr>
        <w:t>marginalny</w:t>
      </w:r>
      <w:r w:rsidRPr="00954812">
        <w:rPr>
          <w:rFonts w:ascii="Calibri" w:eastAsia="Times New Roman" w:hAnsi="Calibri" w:cs="Times New Roman"/>
          <w:bCs/>
          <w:lang w:eastAsia="pl-PL"/>
        </w:rPr>
        <w:t>.</w:t>
      </w:r>
    </w:p>
    <w:p w14:paraId="6221697C" w14:textId="3783030B" w:rsidR="007470D7" w:rsidRPr="00954812" w:rsidRDefault="007470D7" w:rsidP="00F2529C">
      <w:pPr>
        <w:spacing w:after="200" w:line="276" w:lineRule="auto"/>
        <w:rPr>
          <w:rFonts w:ascii="Calibri" w:eastAsia="Times New Roman" w:hAnsi="Calibri" w:cs="Calibri"/>
          <w:lang w:eastAsia="pl-PL"/>
        </w:rPr>
      </w:pPr>
      <w:r w:rsidRPr="00954812">
        <w:rPr>
          <w:rFonts w:ascii="Calibri" w:eastAsia="Times New Roman" w:hAnsi="Calibri" w:cs="Calibri"/>
          <w:spacing w:val="20"/>
          <w:lang w:eastAsia="pl-PL"/>
        </w:rPr>
        <w:t>Należy pamiętać, że w każdym przypadku analiza występowania pomocy publicznej powinna być dokonywana bardzo uważnie, z uwzględnieniem pełnej wiedzy o danym projekcie, gdyż niekiedy niewielkie zmiany w projekcie mogą spowodować inny wniosek co do występowania pomocy publicznej.</w:t>
      </w:r>
      <w:r w:rsidRPr="00954812">
        <w:rPr>
          <w:rFonts w:ascii="Calibri" w:eastAsia="Times New Roman" w:hAnsi="Calibri" w:cs="Calibri"/>
          <w:lang w:eastAsia="pl-PL"/>
        </w:rPr>
        <w:t xml:space="preserve"> </w:t>
      </w:r>
    </w:p>
    <w:p w14:paraId="36D8ABDD" w14:textId="08414FAF" w:rsidR="007470D7" w:rsidRPr="00954812" w:rsidRDefault="007470D7" w:rsidP="007470D7">
      <w:pPr>
        <w:spacing w:after="200" w:line="276" w:lineRule="auto"/>
        <w:rPr>
          <w:rFonts w:ascii="Calibri" w:eastAsia="Times New Roman" w:hAnsi="Calibri" w:cs="Calibri"/>
          <w:lang w:eastAsia="pl-PL"/>
        </w:rPr>
      </w:pPr>
      <w:r w:rsidRPr="00954812">
        <w:rPr>
          <w:rFonts w:ascii="Calibri" w:eastAsia="Times New Roman" w:hAnsi="Calibri" w:cs="Calibri"/>
          <w:lang w:eastAsia="pl-PL"/>
        </w:rPr>
        <w:t xml:space="preserve">W przypadku, gdy w ramach projektu zostanie zidentyfikowana pomoc publiczna lub pomoc de minimis, przeanalizowania wymagają wszystkie warunki dopuszczalności wybranego przeznaczenia pomocy, które wynikają z przepisów prawa UE i krajowego, regulujących to przeznaczenie pomocy. Szczególnej analizy wymaga wystąpienie tzw. </w:t>
      </w:r>
      <w:r w:rsidRPr="00954812">
        <w:rPr>
          <w:rFonts w:ascii="Calibri" w:eastAsia="Times New Roman" w:hAnsi="Calibri" w:cs="Calibri"/>
          <w:bCs/>
          <w:lang w:eastAsia="pl-PL"/>
        </w:rPr>
        <w:t>efektu zachęty</w:t>
      </w:r>
      <w:r w:rsidRPr="00954812">
        <w:rPr>
          <w:rFonts w:ascii="Calibri" w:eastAsia="Times New Roman" w:hAnsi="Calibri" w:cs="Calibri"/>
          <w:lang w:eastAsia="pl-PL"/>
        </w:rPr>
        <w:t xml:space="preserve">, jeśli dane przeznaczenie pomocy wymaga jego spełnienia. Kwestie efektu zachęty reguluje zwłaszcza artykuł 6 </w:t>
      </w:r>
      <w:r w:rsidRPr="00954812">
        <w:rPr>
          <w:rFonts w:ascii="Calibri" w:eastAsia="Times New Roman" w:hAnsi="Calibri" w:cs="Calibri"/>
          <w:iCs/>
          <w:lang w:eastAsia="pl-PL"/>
        </w:rPr>
        <w:t xml:space="preserve">rozporządzenia Komisji (UE) nr </w:t>
      </w:r>
      <w:r w:rsidRPr="00954812">
        <w:rPr>
          <w:rFonts w:ascii="Calibri" w:eastAsia="Times New Roman" w:hAnsi="Calibri" w:cs="Calibri"/>
          <w:bCs/>
          <w:iCs/>
          <w:lang w:eastAsia="pl-PL"/>
        </w:rPr>
        <w:t>651/2014 z dnia 17 czerwca 2014 r</w:t>
      </w:r>
      <w:r w:rsidRPr="00954812">
        <w:rPr>
          <w:rFonts w:ascii="Calibri" w:eastAsia="Times New Roman" w:hAnsi="Calibri" w:cs="Calibri"/>
          <w:iCs/>
          <w:lang w:eastAsia="pl-PL"/>
        </w:rPr>
        <w:t>. uznającego niektóre rodzaje pomocy za zgodne z rynkiem wewnętrznym w zastosowaniu art. 107 i 108 Traktatu</w:t>
      </w:r>
      <w:r w:rsidR="00002A78">
        <w:rPr>
          <w:rFonts w:ascii="Calibri" w:eastAsia="Times New Roman" w:hAnsi="Calibri" w:cs="Calibri"/>
          <w:iCs/>
          <w:lang w:eastAsia="pl-PL"/>
        </w:rPr>
        <w:t xml:space="preserve"> </w:t>
      </w:r>
      <w:r w:rsidR="00002A78" w:rsidRPr="00002A78">
        <w:rPr>
          <w:rFonts w:ascii="Calibri" w:eastAsia="Times New Roman" w:hAnsi="Calibri" w:cs="Calibri"/>
          <w:iCs/>
          <w:lang w:eastAsia="pl-PL"/>
        </w:rPr>
        <w:t xml:space="preserve">(tzw. GBER – The General Block </w:t>
      </w:r>
      <w:proofErr w:type="spellStart"/>
      <w:r w:rsidR="00002A78" w:rsidRPr="00002A78">
        <w:rPr>
          <w:rFonts w:ascii="Calibri" w:eastAsia="Times New Roman" w:hAnsi="Calibri" w:cs="Calibri"/>
          <w:iCs/>
          <w:lang w:eastAsia="pl-PL"/>
        </w:rPr>
        <w:t>Exemption</w:t>
      </w:r>
      <w:proofErr w:type="spellEnd"/>
      <w:r w:rsidR="00002A78" w:rsidRPr="00002A78">
        <w:rPr>
          <w:rFonts w:ascii="Calibri" w:eastAsia="Times New Roman" w:hAnsi="Calibri" w:cs="Calibri"/>
          <w:iCs/>
          <w:lang w:eastAsia="pl-PL"/>
        </w:rPr>
        <w:t xml:space="preserve"> </w:t>
      </w:r>
      <w:proofErr w:type="spellStart"/>
      <w:r w:rsidR="00002A78" w:rsidRPr="00002A78">
        <w:rPr>
          <w:rFonts w:ascii="Calibri" w:eastAsia="Times New Roman" w:hAnsi="Calibri" w:cs="Calibri"/>
          <w:iCs/>
          <w:lang w:eastAsia="pl-PL"/>
        </w:rPr>
        <w:t>Regulation</w:t>
      </w:r>
      <w:proofErr w:type="spellEnd"/>
      <w:r w:rsidR="00002A78" w:rsidRPr="00002A78">
        <w:rPr>
          <w:rFonts w:ascii="Calibri" w:eastAsia="Times New Roman" w:hAnsi="Calibri" w:cs="Calibri"/>
          <w:iCs/>
          <w:lang w:eastAsia="pl-PL"/>
        </w:rPr>
        <w:t xml:space="preserve"> – ogólne rozporządzenie w sprawie wyłączeń blokowych).</w:t>
      </w:r>
      <w:bookmarkEnd w:id="0"/>
    </w:p>
    <w:p w14:paraId="314613C1" w14:textId="013FB688" w:rsidR="008B0BD4" w:rsidRPr="00954812" w:rsidRDefault="00393A97" w:rsidP="008B0BD4">
      <w:pPr>
        <w:rPr>
          <w:b/>
        </w:rPr>
      </w:pPr>
      <w:r w:rsidRPr="00954812">
        <w:rPr>
          <w:b/>
        </w:rPr>
        <w:t>2. Czy wszystkie gminy będące członkami stowarzyszenia OMGGS są wyłączone ze wsparcia w ramach działania</w:t>
      </w:r>
      <w:r w:rsidR="008B0BD4" w:rsidRPr="00954812">
        <w:rPr>
          <w:b/>
        </w:rPr>
        <w:t xml:space="preserve"> 6.3</w:t>
      </w:r>
      <w:r w:rsidRPr="00954812">
        <w:rPr>
          <w:b/>
        </w:rPr>
        <w:t xml:space="preserve"> Infrastruktura społeczna FEP 2021-2027</w:t>
      </w:r>
      <w:r w:rsidR="008B0BD4" w:rsidRPr="00954812">
        <w:rPr>
          <w:b/>
        </w:rPr>
        <w:t>?</w:t>
      </w:r>
    </w:p>
    <w:p w14:paraId="044A23AD" w14:textId="008CB837" w:rsidR="0057547A" w:rsidRPr="00954812" w:rsidRDefault="0057547A" w:rsidP="008B0BD4">
      <w:r w:rsidRPr="00954812">
        <w:t xml:space="preserve">Nie wszystkie gminy będące członkami stowarzyszenia OMGGS są wyłączone ze wsparcia w ramach działania 6.3 Infrastruktura społeczna FEP 2021-2027. Ze wsparcia </w:t>
      </w:r>
      <w:r w:rsidR="00053703" w:rsidRPr="00954812">
        <w:t xml:space="preserve">wykluczone są te gminy, które są wymienione w „Porozumieniu w sprawie realizacji Instrumentu Zintegrowane Inwestycje Terytorialne oraz powierzenia zadań Instytucji </w:t>
      </w:r>
      <w:r w:rsidR="00F2529C" w:rsidRPr="00954812">
        <w:t>P</w:t>
      </w:r>
      <w:r w:rsidR="00053703" w:rsidRPr="00954812">
        <w:t xml:space="preserve">ośredniczącej w ramach programu regionalnego „Fundusze Europejskie dla Pomorza 2021-2027””.  </w:t>
      </w:r>
    </w:p>
    <w:p w14:paraId="21724215" w14:textId="77777777" w:rsidR="00C67526" w:rsidRDefault="00393A97" w:rsidP="008B0BD4">
      <w:pPr>
        <w:rPr>
          <w:b/>
        </w:rPr>
      </w:pPr>
      <w:r w:rsidRPr="00954812">
        <w:rPr>
          <w:b/>
        </w:rPr>
        <w:t xml:space="preserve">3. </w:t>
      </w:r>
      <w:r w:rsidR="00A11FF2" w:rsidRPr="00954812">
        <w:rPr>
          <w:b/>
        </w:rPr>
        <w:t>Ile</w:t>
      </w:r>
      <w:r w:rsidR="00CD285E" w:rsidRPr="00954812">
        <w:rPr>
          <w:b/>
        </w:rPr>
        <w:t xml:space="preserve"> lokali mogą stanowić mieszkania treningowe, wspomagane</w:t>
      </w:r>
      <w:r w:rsidR="00C67526">
        <w:rPr>
          <w:b/>
        </w:rPr>
        <w:t>?</w:t>
      </w:r>
      <w:r w:rsidR="00CD285E" w:rsidRPr="00954812">
        <w:rPr>
          <w:b/>
        </w:rPr>
        <w:t xml:space="preserve"> </w:t>
      </w:r>
    </w:p>
    <w:p w14:paraId="68709E1D" w14:textId="683E835F" w:rsidR="007470D7" w:rsidRPr="00522C07" w:rsidRDefault="00C67526" w:rsidP="008B0BD4">
      <w:r w:rsidRPr="00522C07">
        <w:t>Sposób wyliczenia ile lokali mogą stanowić mieszkania treningowe, wspomagane został przedstawiony w poniższej tabeli:</w:t>
      </w:r>
      <w:r w:rsidR="00CD285E" w:rsidRPr="00522C07">
        <w:t>:</w:t>
      </w:r>
    </w:p>
    <w:bookmarkEnd w:id="1"/>
    <w:p w14:paraId="2193A337" w14:textId="77777777" w:rsidR="00522C07" w:rsidRPr="006A73A0" w:rsidRDefault="00522C07" w:rsidP="00522C07">
      <w:pPr>
        <w:pStyle w:val="NormalnyWeb"/>
        <w:tabs>
          <w:tab w:val="left" w:pos="2004"/>
        </w:tabs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A73A0">
        <w:rPr>
          <w:rFonts w:asciiTheme="minorHAnsi" w:hAnsiTheme="minorHAnsi" w:cstheme="minorHAnsi"/>
          <w:sz w:val="22"/>
          <w:szCs w:val="22"/>
        </w:rPr>
        <w:t xml:space="preserve">gdzie </w:t>
      </w:r>
      <w:r w:rsidRPr="00F22F16">
        <w:rPr>
          <w:rFonts w:asciiTheme="minorHAnsi" w:hAnsiTheme="minorHAnsi" w:cstheme="minorHAnsi"/>
          <w:b/>
          <w:sz w:val="22"/>
          <w:szCs w:val="22"/>
        </w:rPr>
        <w:t>M</w:t>
      </w:r>
      <w:r w:rsidRPr="00D85FA2">
        <w:rPr>
          <w:rFonts w:asciiTheme="minorHAnsi" w:hAnsiTheme="minorHAnsi" w:cstheme="minorHAnsi"/>
          <w:sz w:val="22"/>
          <w:szCs w:val="22"/>
        </w:rPr>
        <w:t xml:space="preserve"> to szukana liczba mieszkań treningowych, wspomaganych</w:t>
      </w:r>
    </w:p>
    <w:p w14:paraId="37E92C34" w14:textId="77777777" w:rsidR="00522C07" w:rsidRDefault="00522C07" w:rsidP="00522C07">
      <w:pPr>
        <w:pStyle w:val="NormalnyWeb"/>
        <w:tabs>
          <w:tab w:val="left" w:pos="2004"/>
        </w:tabs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07519BB7" w14:textId="77777777" w:rsidR="00522C07" w:rsidRDefault="00522C07" w:rsidP="00522C07">
      <w:pPr>
        <w:tabs>
          <w:tab w:val="left" w:pos="2004"/>
        </w:tabs>
        <w:spacing w:after="0" w:line="276" w:lineRule="auto"/>
        <w:rPr>
          <w:rFonts w:eastAsiaTheme="minorEastAsia"/>
        </w:rPr>
      </w:pPr>
      <w:r>
        <w:rPr>
          <w:rFonts w:eastAsiaTheme="minorEastAsia"/>
        </w:rPr>
        <w:t xml:space="preserve">* W przypadku liczby ułamkowej </w:t>
      </w:r>
      <w:r w:rsidRPr="00DC695D">
        <w:rPr>
          <w:rFonts w:eastAsiaTheme="minorEastAsia"/>
          <w:b/>
        </w:rPr>
        <w:t>zawsze zaokrąglamy w dół</w:t>
      </w:r>
      <w:r>
        <w:rPr>
          <w:rFonts w:eastAsiaTheme="minorEastAsia"/>
          <w:b/>
        </w:rPr>
        <w:t xml:space="preserve">, </w:t>
      </w:r>
      <w:r>
        <w:rPr>
          <w:rFonts w:eastAsiaTheme="minorEastAsia"/>
        </w:rPr>
        <w:t>np. M = 10,25 to wynik ostateczny przyjmujemy M = 10</w:t>
      </w:r>
    </w:p>
    <w:p w14:paraId="60CF6045" w14:textId="77777777" w:rsidR="00522C07" w:rsidRPr="00D85FA2" w:rsidRDefault="00522C07" w:rsidP="00522C07">
      <w:pPr>
        <w:tabs>
          <w:tab w:val="left" w:pos="2004"/>
        </w:tabs>
        <w:spacing w:after="0" w:line="276" w:lineRule="auto"/>
        <w:rPr>
          <w:rFonts w:eastAsiaTheme="minorEastAsia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22C07" w14:paraId="4FA1CFE6" w14:textId="77777777" w:rsidTr="00E318C7">
        <w:trPr>
          <w:trHeight w:val="817"/>
        </w:trPr>
        <w:tc>
          <w:tcPr>
            <w:tcW w:w="3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tl2br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EAD1807" w14:textId="77777777" w:rsidR="00522C07" w:rsidRPr="00F22F16" w:rsidRDefault="00522C07" w:rsidP="00E318C7">
            <w:pPr>
              <w:pStyle w:val="NormalnyWeb"/>
              <w:tabs>
                <w:tab w:val="left" w:pos="2004"/>
              </w:tabs>
              <w:rPr>
                <w:rFonts w:asciiTheme="minorHAnsi" w:eastAsiaTheme="minorEastAsia" w:hAnsiTheme="minorHAnsi" w:cstheme="minorHAnsi"/>
              </w:rPr>
            </w:pPr>
            <w:r w:rsidRPr="00F22F16">
              <w:rPr>
                <w:rFonts w:asciiTheme="minorHAnsi" w:eastAsiaTheme="minorEastAsia" w:hAnsiTheme="minorHAnsi" w:cstheme="minorHAnsi"/>
              </w:rPr>
              <w:t xml:space="preserve">                           Liczba lokali </w:t>
            </w:r>
            <w:r w:rsidRPr="00F22F16">
              <w:rPr>
                <w:rFonts w:asciiTheme="minorHAnsi" w:eastAsiaTheme="minorEastAsia" w:hAnsiTheme="minorHAnsi" w:cstheme="minorHAnsi"/>
                <w:b/>
              </w:rPr>
              <w:t>L</w:t>
            </w:r>
          </w:p>
          <w:p w14:paraId="217F79AB" w14:textId="77777777" w:rsidR="00522C07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Liczba </w:t>
            </w:r>
            <w:r w:rsidRPr="00F22F16">
              <w:rPr>
                <w:rFonts w:asciiTheme="minorHAnsi" w:eastAsiaTheme="minorEastAsia" w:hAnsiTheme="minorHAnsi" w:cstheme="minorHAnsi"/>
              </w:rPr>
              <w:t xml:space="preserve">osób w </w:t>
            </w:r>
          </w:p>
          <w:p w14:paraId="326B66A5" w14:textId="77777777" w:rsidR="00522C07" w:rsidRPr="00F22F16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</w:rPr>
            </w:pPr>
            <w:r w:rsidRPr="00F22F16">
              <w:rPr>
                <w:rFonts w:asciiTheme="minorHAnsi" w:eastAsiaTheme="minorEastAsia" w:hAnsiTheme="minorHAnsi" w:cstheme="minorHAnsi"/>
              </w:rPr>
              <w:t xml:space="preserve">mieszkaniu </w:t>
            </w:r>
            <w:bookmarkStart w:id="2" w:name="_GoBack"/>
            <w:bookmarkEnd w:id="2"/>
          </w:p>
        </w:tc>
        <w:tc>
          <w:tcPr>
            <w:tcW w:w="3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D4D9365" w14:textId="77777777" w:rsidR="00522C07" w:rsidRPr="00F22F16" w:rsidRDefault="00522C07" w:rsidP="00E318C7">
            <w:pPr>
              <w:pStyle w:val="NormalnyWeb"/>
              <w:tabs>
                <w:tab w:val="left" w:pos="2004"/>
              </w:tabs>
              <w:jc w:val="center"/>
              <w:rPr>
                <w:rFonts w:asciiTheme="minorHAnsi" w:eastAsiaTheme="minorEastAsia" w:hAnsiTheme="minorHAnsi" w:cstheme="minorHAnsi"/>
              </w:rPr>
            </w:pPr>
            <w:r w:rsidRPr="00F22F16">
              <w:rPr>
                <w:rFonts w:asciiTheme="minorHAnsi" w:eastAsiaTheme="minorEastAsia" w:hAnsiTheme="minorHAnsi" w:cstheme="minorHAnsi"/>
                <w:b/>
              </w:rPr>
              <w:t>L</w:t>
            </w:r>
            <w:r w:rsidRPr="00F22F16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F22F16">
              <w:rPr>
                <w:rFonts w:asciiTheme="minorHAnsi" w:hAnsiTheme="minorHAnsi" w:cstheme="minorHAnsi"/>
              </w:rPr>
              <w:t>≤ 8</w:t>
            </w:r>
          </w:p>
        </w:tc>
        <w:tc>
          <w:tcPr>
            <w:tcW w:w="3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41C602A" w14:textId="77777777" w:rsidR="00522C07" w:rsidRPr="00F22F16" w:rsidRDefault="00522C07" w:rsidP="00E318C7">
            <w:pPr>
              <w:pStyle w:val="NormalnyWeb"/>
              <w:tabs>
                <w:tab w:val="left" w:pos="2004"/>
              </w:tabs>
              <w:jc w:val="center"/>
              <w:rPr>
                <w:rFonts w:asciiTheme="minorHAnsi" w:eastAsiaTheme="minorEastAsia" w:hAnsiTheme="minorHAnsi" w:cstheme="minorHAnsi"/>
              </w:rPr>
            </w:pPr>
            <w:r w:rsidRPr="00F22F16">
              <w:rPr>
                <w:rFonts w:asciiTheme="minorHAnsi" w:hAnsiTheme="minorHAnsi" w:cstheme="minorHAnsi"/>
                <w:b/>
              </w:rPr>
              <w:t>L</w:t>
            </w:r>
            <w:r w:rsidRPr="00F22F16">
              <w:rPr>
                <w:rFonts w:asciiTheme="minorHAnsi" w:hAnsiTheme="minorHAnsi" w:cstheme="minorHAnsi"/>
              </w:rPr>
              <w:t xml:space="preserve"> &gt; 8</w:t>
            </w:r>
          </w:p>
        </w:tc>
      </w:tr>
      <w:tr w:rsidR="00522C07" w14:paraId="757648C8" w14:textId="77777777" w:rsidTr="00E318C7">
        <w:tc>
          <w:tcPr>
            <w:tcW w:w="3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DB17D94" w14:textId="77777777" w:rsidR="00522C07" w:rsidRPr="00D85FA2" w:rsidRDefault="00522C07" w:rsidP="00E318C7">
            <w:pPr>
              <w:pStyle w:val="NormalnyWeb"/>
              <w:tabs>
                <w:tab w:val="left" w:pos="2004"/>
              </w:tabs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D85FA2">
              <w:rPr>
                <w:rFonts w:asciiTheme="minorHAnsi" w:hAnsiTheme="minorHAnsi" w:cstheme="minorHAnsi"/>
                <w:b/>
                <w:sz w:val="22"/>
                <w:szCs w:val="22"/>
              </w:rPr>
              <w:t>więcej niż jedna</w:t>
            </w:r>
            <w:r w:rsidRPr="00D85FA2">
              <w:rPr>
                <w:rFonts w:asciiTheme="minorHAnsi" w:hAnsiTheme="minorHAnsi" w:cstheme="minorHAnsi"/>
                <w:sz w:val="22"/>
                <w:szCs w:val="22"/>
              </w:rPr>
              <w:t xml:space="preserve"> osoba</w:t>
            </w:r>
          </w:p>
        </w:tc>
        <w:tc>
          <w:tcPr>
            <w:tcW w:w="3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2B5421" w14:textId="77777777" w:rsidR="00522C07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32476D20" w14:textId="77777777" w:rsidR="00522C07" w:rsidRPr="00BB568D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 xml:space="preserve">   M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  <w:p w14:paraId="79323745" w14:textId="77777777" w:rsidR="00522C07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167F3952" w14:textId="77777777" w:rsidR="00522C07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  <w:p w14:paraId="29C6BDF5" w14:textId="77777777" w:rsidR="00522C07" w:rsidRPr="00F22F16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F22F16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Przykład:</w:t>
            </w:r>
            <w:r>
              <w:rPr>
                <w:noProof/>
              </w:rPr>
              <w:t xml:space="preserve"> </w:t>
            </w:r>
          </w:p>
          <w:p w14:paraId="48721833" w14:textId="77777777" w:rsidR="00522C07" w:rsidRPr="00BB568D" w:rsidRDefault="00522C07" w:rsidP="00E318C7">
            <w:pPr>
              <w:pStyle w:val="NormalnyWeb"/>
              <w:tabs>
                <w:tab w:val="left" w:pos="2004"/>
              </w:tabs>
              <w:spacing w:before="120" w:beforeAutospacing="0" w:after="0" w:afterAutospacing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t>L = 6 lokali</w:t>
            </w:r>
          </w:p>
          <w:p w14:paraId="5C173F35" w14:textId="77777777" w:rsidR="00522C07" w:rsidRPr="00BB568D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M = 6/2; </w:t>
            </w:r>
          </w:p>
          <w:p w14:paraId="02E0B690" w14:textId="77777777" w:rsidR="00522C07" w:rsidRPr="00BB568D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t>M = 3</w:t>
            </w:r>
          </w:p>
          <w:p w14:paraId="01C871C8" w14:textId="77777777" w:rsidR="00522C07" w:rsidRPr="00BB568D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t>Odp. Liczba mieszkań treningowych, wspomaganych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, w których mieszka więcej niż jedna osoba</w:t>
            </w: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równa się 3</w:t>
            </w:r>
          </w:p>
          <w:p w14:paraId="01C1B35E" w14:textId="77777777" w:rsidR="00522C07" w:rsidRPr="00BB568D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0ADFFA" w14:textId="77777777" w:rsidR="00522C07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</w:rPr>
            </w:pPr>
          </w:p>
          <w:p w14:paraId="5F3F734B" w14:textId="77777777" w:rsidR="00522C07" w:rsidRPr="00BB568D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M=4+0,25⋅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L-4</m:t>
                    </m:r>
                  </m:e>
                </m:d>
              </m:oMath>
            </m:oMathPara>
          </w:p>
          <w:p w14:paraId="2036F684" w14:textId="77777777" w:rsidR="00522C07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779BD980" w14:textId="77777777" w:rsidR="00522C07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  <w:p w14:paraId="30F40281" w14:textId="77777777" w:rsidR="00522C07" w:rsidRPr="00F22F16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F22F16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Przykład:</w:t>
            </w:r>
          </w:p>
          <w:p w14:paraId="1C10E436" w14:textId="77777777" w:rsidR="00522C07" w:rsidRPr="00BB568D" w:rsidRDefault="00522C07" w:rsidP="00E318C7">
            <w:pPr>
              <w:pStyle w:val="NormalnyWeb"/>
              <w:tabs>
                <w:tab w:val="left" w:pos="2004"/>
              </w:tabs>
              <w:spacing w:before="120" w:beforeAutospacing="0" w:after="0" w:afterAutospacing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L =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17</w:t>
            </w: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lokali</w:t>
            </w:r>
          </w:p>
          <w:p w14:paraId="4F0F9AD2" w14:textId="77777777" w:rsidR="00522C07" w:rsidRPr="00BB568D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M =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4 + 0,25 </w:t>
            </w:r>
            <w:r>
              <w:rPr>
                <w:rFonts w:ascii="Calibri" w:eastAsiaTheme="minorEastAsia" w:hAnsi="Calibri" w:cs="Calibri"/>
                <w:sz w:val="20"/>
                <w:szCs w:val="20"/>
              </w:rPr>
              <w:t>∙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(17 - 4)</w:t>
            </w: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; </w:t>
            </w:r>
          </w:p>
          <w:p w14:paraId="24B354C4" w14:textId="77777777" w:rsidR="00522C07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M =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4 + 0,25 </w:t>
            </w:r>
            <w:r>
              <w:rPr>
                <w:rFonts w:ascii="Calibri" w:eastAsiaTheme="minorEastAsia" w:hAnsi="Calibri" w:cs="Calibri"/>
                <w:sz w:val="20"/>
                <w:szCs w:val="20"/>
              </w:rPr>
              <w:t>∙ 13</w:t>
            </w:r>
          </w:p>
          <w:p w14:paraId="0EC79AF4" w14:textId="77777777" w:rsidR="00522C07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M = 7,25 (zaokrąglamy w dół)</w:t>
            </w:r>
          </w:p>
          <w:p w14:paraId="1A903B84" w14:textId="77777777" w:rsidR="00522C07" w:rsidRPr="00BB568D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M = 7</w:t>
            </w:r>
          </w:p>
          <w:p w14:paraId="2A47E543" w14:textId="77777777" w:rsidR="00522C07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t>Odp. Liczba mieszkań treningowych, wspomaganych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, w których mieszka więcej niż jedna osoba</w:t>
            </w: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równa się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7</w:t>
            </w:r>
          </w:p>
          <w:p w14:paraId="2332F88F" w14:textId="77777777" w:rsidR="00522C07" w:rsidRPr="00D85FA2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522C07" w14:paraId="2C758D68" w14:textId="77777777" w:rsidTr="00E318C7">
        <w:tc>
          <w:tcPr>
            <w:tcW w:w="3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5D321C2" w14:textId="77777777" w:rsidR="00522C07" w:rsidRPr="00D85FA2" w:rsidRDefault="00522C07" w:rsidP="00E318C7">
            <w:pPr>
              <w:pStyle w:val="NormalnyWeb"/>
              <w:tabs>
                <w:tab w:val="left" w:pos="2004"/>
              </w:tabs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D85FA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jedna</w:t>
            </w:r>
            <w:r w:rsidRPr="00D85FA2">
              <w:rPr>
                <w:rFonts w:asciiTheme="minorHAnsi" w:hAnsiTheme="minorHAnsi" w:cstheme="minorHAnsi"/>
                <w:sz w:val="22"/>
                <w:szCs w:val="22"/>
              </w:rPr>
              <w:t xml:space="preserve"> osoba</w:t>
            </w:r>
          </w:p>
        </w:tc>
        <w:tc>
          <w:tcPr>
            <w:tcW w:w="3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C2E81E" w14:textId="77777777" w:rsidR="00522C07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</w:rPr>
            </w:pPr>
          </w:p>
          <w:p w14:paraId="134F9C2B" w14:textId="77777777" w:rsidR="00522C07" w:rsidRPr="00BB568D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 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  <w:p w14:paraId="7026EC38" w14:textId="77777777" w:rsidR="00522C07" w:rsidRPr="00BB568D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</w:rPr>
            </w:pPr>
          </w:p>
          <w:p w14:paraId="20410EF1" w14:textId="77777777" w:rsidR="00522C07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7AE6EAEB" w14:textId="77777777" w:rsidR="00522C07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  <w:p w14:paraId="07CF427E" w14:textId="77777777" w:rsidR="00522C07" w:rsidRPr="00F22F16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F22F16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Przykład:</w:t>
            </w:r>
          </w:p>
          <w:p w14:paraId="35369ED6" w14:textId="77777777" w:rsidR="00522C07" w:rsidRPr="00BB568D" w:rsidRDefault="00522C07" w:rsidP="00E318C7">
            <w:pPr>
              <w:pStyle w:val="NormalnyWeb"/>
              <w:tabs>
                <w:tab w:val="left" w:pos="2004"/>
              </w:tabs>
              <w:spacing w:before="120" w:beforeAutospacing="0" w:after="0" w:afterAutospacing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t>L = 6 lokali</w:t>
            </w:r>
          </w:p>
          <w:p w14:paraId="0B784107" w14:textId="77777777" w:rsidR="00522C07" w:rsidRPr="00BB568D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M = 6; </w:t>
            </w:r>
          </w:p>
          <w:p w14:paraId="1F634F62" w14:textId="77777777" w:rsidR="00522C07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t>Odp. Liczba mieszkań treningowych, wspomaganych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, w których mieszka jedna osoba</w:t>
            </w: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równa się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6</w:t>
            </w:r>
          </w:p>
          <w:p w14:paraId="3FE93207" w14:textId="77777777" w:rsidR="00522C07" w:rsidRPr="00D85FA2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30FEB2" w14:textId="77777777" w:rsidR="00522C07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</w:rPr>
            </w:pPr>
          </w:p>
          <w:p w14:paraId="22A7EFCC" w14:textId="77777777" w:rsidR="00522C07" w:rsidRPr="00BB568D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M=8+0,25⋅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L-8</m:t>
                    </m:r>
                  </m:e>
                </m:d>
              </m:oMath>
            </m:oMathPara>
          </w:p>
          <w:p w14:paraId="1FA725C6" w14:textId="77777777" w:rsidR="00522C07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6A60ED67" w14:textId="77777777" w:rsidR="00522C07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  <w:p w14:paraId="23806568" w14:textId="77777777" w:rsidR="00522C07" w:rsidRPr="00F22F16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F22F16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Przykład:</w:t>
            </w:r>
          </w:p>
          <w:p w14:paraId="0FBF0A38" w14:textId="77777777" w:rsidR="00522C07" w:rsidRPr="00BB568D" w:rsidRDefault="00522C07" w:rsidP="00E318C7">
            <w:pPr>
              <w:pStyle w:val="NormalnyWeb"/>
              <w:tabs>
                <w:tab w:val="left" w:pos="2004"/>
              </w:tabs>
              <w:spacing w:before="120" w:beforeAutospacing="0" w:after="0" w:afterAutospacing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L =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17</w:t>
            </w: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lokali</w:t>
            </w:r>
          </w:p>
          <w:p w14:paraId="2EF7CC1A" w14:textId="77777777" w:rsidR="00522C07" w:rsidRPr="00BB568D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M =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8 + 0,25 </w:t>
            </w:r>
            <w:r>
              <w:rPr>
                <w:rFonts w:ascii="Calibri" w:eastAsiaTheme="minorEastAsia" w:hAnsi="Calibri" w:cs="Calibri"/>
                <w:sz w:val="20"/>
                <w:szCs w:val="20"/>
              </w:rPr>
              <w:t>∙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(17 - 8)</w:t>
            </w: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; </w:t>
            </w:r>
          </w:p>
          <w:p w14:paraId="735DDF67" w14:textId="77777777" w:rsidR="00522C07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M =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8 + 0,25 </w:t>
            </w:r>
            <w:r>
              <w:rPr>
                <w:rFonts w:ascii="Calibri" w:eastAsiaTheme="minorEastAsia" w:hAnsi="Calibri" w:cs="Calibri"/>
                <w:sz w:val="20"/>
                <w:szCs w:val="20"/>
              </w:rPr>
              <w:t>∙ 9</w:t>
            </w:r>
          </w:p>
          <w:p w14:paraId="73506A13" w14:textId="77777777" w:rsidR="00522C07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M = 10,25* (zaokrąglamy w dół)</w:t>
            </w:r>
          </w:p>
          <w:p w14:paraId="6F025E40" w14:textId="77777777" w:rsidR="00522C07" w:rsidRPr="00BB568D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M = 10</w:t>
            </w:r>
          </w:p>
          <w:p w14:paraId="48E6A720" w14:textId="77777777" w:rsidR="00522C07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t>Odp. Liczba mieszkań treningowych, wspomaganych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, w których mieszka jedna osoba</w:t>
            </w:r>
            <w:r w:rsidRPr="00BB568D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równa się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10</w:t>
            </w:r>
          </w:p>
          <w:p w14:paraId="53A6436D" w14:textId="77777777" w:rsidR="00522C07" w:rsidRPr="00D85FA2" w:rsidRDefault="00522C07" w:rsidP="00E318C7">
            <w:pPr>
              <w:pStyle w:val="NormalnyWeb"/>
              <w:tabs>
                <w:tab w:val="left" w:pos="2004"/>
              </w:tabs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34BE9C55" w14:textId="77777777" w:rsidR="00522C07" w:rsidRPr="006A73A0" w:rsidRDefault="00522C07" w:rsidP="00522C07">
      <w:pPr>
        <w:pStyle w:val="NormalnyWeb"/>
        <w:tabs>
          <w:tab w:val="left" w:pos="2004"/>
        </w:tabs>
        <w:rPr>
          <w:rFonts w:asciiTheme="minorHAnsi" w:eastAsiaTheme="minorEastAsia" w:hAnsiTheme="minorHAnsi" w:cstheme="minorHAnsi"/>
          <w:sz w:val="22"/>
        </w:rPr>
      </w:pPr>
      <w:r w:rsidRPr="006A73A0">
        <w:rPr>
          <w:rFonts w:asciiTheme="minorHAnsi" w:eastAsiaTheme="minorEastAsia" w:hAnsiTheme="minorHAnsi" w:cstheme="minorHAnsi"/>
          <w:sz w:val="22"/>
        </w:rPr>
        <w:t>Liczba miejsc w mieszkaniu może wynieść maksymalnie 3 (a pokoje powinny być jednoosobowe), chyba że większa liczba miejsc wynika z faktu bycia rodziną w rozumieniu ustawy z dnia 12 marca 2004 r. o pomocy społecznej.</w:t>
      </w:r>
    </w:p>
    <w:p w14:paraId="2EAE1227" w14:textId="3B615F59" w:rsidR="002F3A54" w:rsidRDefault="002F3A54" w:rsidP="008B0BD4">
      <w:pPr>
        <w:rPr>
          <w:b/>
        </w:rPr>
      </w:pPr>
    </w:p>
    <w:p w14:paraId="4AAF764B" w14:textId="77777777" w:rsidR="00C67526" w:rsidRDefault="00C67526" w:rsidP="008B0BD4">
      <w:pPr>
        <w:rPr>
          <w:b/>
        </w:rPr>
      </w:pPr>
    </w:p>
    <w:p w14:paraId="4DC5833E" w14:textId="2D48C328" w:rsidR="00C67526" w:rsidRDefault="00C67526" w:rsidP="008B0BD4"/>
    <w:p w14:paraId="5B73A301" w14:textId="7E415685" w:rsidR="00C67526" w:rsidRDefault="00C67526" w:rsidP="008B0BD4"/>
    <w:p w14:paraId="2BA12181" w14:textId="5F8F2EFF" w:rsidR="00C67526" w:rsidRDefault="00C67526" w:rsidP="008B0BD4"/>
    <w:p w14:paraId="130AE460" w14:textId="23E7F465" w:rsidR="00C67526" w:rsidRDefault="00C67526" w:rsidP="008B0BD4"/>
    <w:sectPr w:rsidR="00C67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CD2AD" w14:textId="77777777" w:rsidR="007470D7" w:rsidRDefault="007470D7" w:rsidP="007470D7">
      <w:pPr>
        <w:spacing w:after="0" w:line="240" w:lineRule="auto"/>
      </w:pPr>
      <w:r>
        <w:separator/>
      </w:r>
    </w:p>
  </w:endnote>
  <w:endnote w:type="continuationSeparator" w:id="0">
    <w:p w14:paraId="0D81D1E8" w14:textId="77777777" w:rsidR="007470D7" w:rsidRDefault="007470D7" w:rsidP="0074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F3EB6" w14:textId="77777777" w:rsidR="007470D7" w:rsidRDefault="007470D7" w:rsidP="007470D7">
      <w:pPr>
        <w:spacing w:after="0" w:line="240" w:lineRule="auto"/>
      </w:pPr>
      <w:r>
        <w:separator/>
      </w:r>
    </w:p>
  </w:footnote>
  <w:footnote w:type="continuationSeparator" w:id="0">
    <w:p w14:paraId="093B004B" w14:textId="77777777" w:rsidR="007470D7" w:rsidRDefault="007470D7" w:rsidP="00747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C73ED"/>
    <w:multiLevelType w:val="hybridMultilevel"/>
    <w:tmpl w:val="53E2903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49E4FC0"/>
    <w:multiLevelType w:val="hybridMultilevel"/>
    <w:tmpl w:val="40F8B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0E6CF66">
      <w:start w:val="1"/>
      <w:numFmt w:val="decimal"/>
      <w:lvlText w:val="%3)"/>
      <w:lvlJc w:val="left"/>
      <w:pPr>
        <w:ind w:left="1408" w:hanging="70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6375D"/>
    <w:multiLevelType w:val="hybridMultilevel"/>
    <w:tmpl w:val="2DF8D2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92215B"/>
    <w:multiLevelType w:val="hybridMultilevel"/>
    <w:tmpl w:val="1AAA5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5-06"/>
    <w:docVar w:name="LE_Links" w:val="{1C77DC77-30DF-4BED-AF3A-968A03A26923}"/>
  </w:docVars>
  <w:rsids>
    <w:rsidRoot w:val="007470D7"/>
    <w:rsid w:val="00002A78"/>
    <w:rsid w:val="00030099"/>
    <w:rsid w:val="00053703"/>
    <w:rsid w:val="000705A9"/>
    <w:rsid w:val="000B76D3"/>
    <w:rsid w:val="00150349"/>
    <w:rsid w:val="001C188D"/>
    <w:rsid w:val="00224081"/>
    <w:rsid w:val="0023095F"/>
    <w:rsid w:val="002473D7"/>
    <w:rsid w:val="0026094A"/>
    <w:rsid w:val="002777E7"/>
    <w:rsid w:val="00297465"/>
    <w:rsid w:val="002A795D"/>
    <w:rsid w:val="002F3A54"/>
    <w:rsid w:val="0034571F"/>
    <w:rsid w:val="003600F6"/>
    <w:rsid w:val="003911F9"/>
    <w:rsid w:val="00393A97"/>
    <w:rsid w:val="003C019D"/>
    <w:rsid w:val="003D387C"/>
    <w:rsid w:val="00522C07"/>
    <w:rsid w:val="00550F4D"/>
    <w:rsid w:val="0057547A"/>
    <w:rsid w:val="005A2522"/>
    <w:rsid w:val="006D70C0"/>
    <w:rsid w:val="007470D7"/>
    <w:rsid w:val="00804361"/>
    <w:rsid w:val="00873EE3"/>
    <w:rsid w:val="008B0BD4"/>
    <w:rsid w:val="00932832"/>
    <w:rsid w:val="0093782C"/>
    <w:rsid w:val="00946E30"/>
    <w:rsid w:val="00954812"/>
    <w:rsid w:val="00983E70"/>
    <w:rsid w:val="00A11FF2"/>
    <w:rsid w:val="00A464D0"/>
    <w:rsid w:val="00A938BF"/>
    <w:rsid w:val="00AA578B"/>
    <w:rsid w:val="00AC7459"/>
    <w:rsid w:val="00AF6AC4"/>
    <w:rsid w:val="00B01AB5"/>
    <w:rsid w:val="00BB4439"/>
    <w:rsid w:val="00C021ED"/>
    <w:rsid w:val="00C51B8A"/>
    <w:rsid w:val="00C62E90"/>
    <w:rsid w:val="00C67526"/>
    <w:rsid w:val="00C807FB"/>
    <w:rsid w:val="00CD285E"/>
    <w:rsid w:val="00D1495A"/>
    <w:rsid w:val="00D23CDE"/>
    <w:rsid w:val="00D31E9C"/>
    <w:rsid w:val="00D42D53"/>
    <w:rsid w:val="00E302CB"/>
    <w:rsid w:val="00F2529C"/>
    <w:rsid w:val="00F87EC1"/>
    <w:rsid w:val="00F9744E"/>
    <w:rsid w:val="00F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8A41"/>
  <w15:chartTrackingRefBased/>
  <w15:docId w15:val="{DBD833D2-B2D4-41F7-A143-F2C609ED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0D7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470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0B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57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7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7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7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7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1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2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2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7DC77-30DF-4BED-AF3A-968A03A2692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B2F4492-A280-4EDA-B4A0-BF689141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1488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Surudo</dc:creator>
  <cp:keywords/>
  <dc:description/>
  <cp:lastModifiedBy>Natalia Błażowska</cp:lastModifiedBy>
  <cp:revision>12</cp:revision>
  <cp:lastPrinted>2025-05-14T10:34:00Z</cp:lastPrinted>
  <dcterms:created xsi:type="dcterms:W3CDTF">2025-05-12T13:41:00Z</dcterms:created>
  <dcterms:modified xsi:type="dcterms:W3CDTF">2025-05-14T13:35:00Z</dcterms:modified>
</cp:coreProperties>
</file>