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6C113F" w:rsidRDefault="00052937" w:rsidP="006C113F">
      <w:pPr>
        <w:spacing w:line="360" w:lineRule="auto"/>
        <w:jc w:val="center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Nabór nr FEPM.05.06-IZ.00-001/2</w:t>
      </w:r>
      <w:r w:rsidR="008728A6" w:rsidRPr="006C113F">
        <w:rPr>
          <w:b/>
          <w:sz w:val="24"/>
          <w:szCs w:val="24"/>
        </w:rPr>
        <w:t>5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zatrudnienie.efs@pomorskie.eu</w:t>
        </w:r>
      </w:hyperlink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E737A1" w:rsidRPr="006C113F" w:rsidRDefault="00E737A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SOWA</w:t>
      </w:r>
    </w:p>
    <w:p w:rsidR="00E737A1" w:rsidRPr="006C113F" w:rsidRDefault="00E737A1" w:rsidP="006C113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Jaki jest sposób składania wniosku o dofinansowanie oraz załącznika</w:t>
      </w:r>
      <w:r w:rsidR="008122A4"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/załączników?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7A5E08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0.05.2025 r.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Wniosek oraz wymagany załącznik należy złożyć  wyłącznie za pośrednictwem aplikacji SOWA EFS (</w:t>
      </w:r>
      <w:hyperlink r:id="rId10" w:history="1">
        <w:r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https://sowa2021.efs.gov.pl</w:t>
        </w:r>
      </w:hyperlink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)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Załącznik do wniosku o dofinansowanie projektu (zał. nr 2</w:t>
      </w:r>
      <w:r w:rsidR="007A5E08" w:rsidRPr="006C113F">
        <w:rPr>
          <w:rFonts w:eastAsia="Times New Roman" w:cstheme="minorHAnsi"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do Regulaminu wyboru projektu)– Oświadczenie Wnioskodawcy dot. kryteriów wyboru projektów i zapoznania się z Regulaminem wyboru projektów  należy jednokrotnie podpisać podpisem kwalifikowanym przez osobę/osoby upoważnioną/e do reprezentowania Wnioskodawcy.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Istotne jest, aby nie modyfikować treści załącznika.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Oświadczenie musi być podpisane podpisem kwalifikowanym. Aby podpisać dokument podpisem kwalifikowanym należy posiadać jeden z podpisów kwalifikowanych, kupiony u jednego z certyfikowanych dostawców wymienionych w rejestrze Narodowego Centrum Certyfikacji.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Załącznik do formularza wniosku musi stanowić jeden plik z dopuszczalnym rozszerzeniem: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doc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xls,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xlsx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pdf,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docx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png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r w:rsidR="007A5E08" w:rsidRPr="006C113F">
        <w:rPr>
          <w:rFonts w:eastAsia="Times New Roman" w:cstheme="minorHAnsi"/>
          <w:color w:val="212529"/>
          <w:sz w:val="24"/>
          <w:szCs w:val="24"/>
          <w:lang w:eastAsia="pl-PL"/>
        </w:rPr>
        <w:t>j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pg, txt,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mp4 oraz archiwa zip i 7z. Dopuszczalne są także pliki podpisane kwalifikowanym podpisem elektronicznym w formatach TSL,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XMLsig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CadES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ASIC,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XMLenc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Dodatkowe załączniki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 przypadku, gdy</w:t>
      </w:r>
      <w:r w:rsidRPr="006C113F">
        <w:rPr>
          <w:rFonts w:eastAsia="Times New Roman" w:cstheme="minorHAnsi"/>
          <w:i/>
          <w:color w:val="212529"/>
          <w:sz w:val="24"/>
          <w:szCs w:val="24"/>
          <w:lang w:eastAsia="pl-PL"/>
        </w:rPr>
        <w:t xml:space="preserve"> </w:t>
      </w: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podmiot ubiegający się o pomoc publiczną lub pomoc de </w:t>
      </w:r>
      <w:proofErr w:type="spellStart"/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 jest jednocześnie wnioskodawcą/partnerem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, ma obowiązek</w:t>
      </w:r>
      <w:r w:rsidR="00025462"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1.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: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a)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kopie zaświadczeń o otrzymanej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jakie wnioskodawca/partner otrzymał w ciągu minionych 3 lat, zgodnie z art. 3 ust. 2 rozporządzenia Komisji (UE) 2023/2831 z dnia 13 grudnia 2023 r. w sprawie stosowania art. 107 i 108 Traktatu o funkcjonowaniu Unii Europejskiej do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(z uwzględnieniem uwagi zawartej w pkt 11 wprowadzenia do ww. rozporządzenia), albo oświadczenie o wielkości tej pomocy otrzymanej w tym okresie, albo oświadczenie o nieotrzymaniu takiej pomocy w tym okresie;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b)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 (Dz. U. z 2024 r. poz. 40, zm. Dz. U. z 2024 r. poz. 1206);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2.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publicznej - informacje dotyczące wnioskodawcy/partnera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Oświadczenia wskazane w pkt 1 lit. a oraz informacje wskazane w pkt 1 lit. b lub pkt 2 wnioskodawca/partner składa w formie skanów podpisanych dokumentów przez osobę/y uprawnioną/e do reprezentowania wnioskodawcy/partnera. </w:t>
      </w:r>
    </w:p>
    <w:p w:rsidR="000133A3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Oryginał lub kopie potwierdzone za zgodność z oryginałem ww. dokumentów dotyczących pomocy publicznej lub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ION będzie wymagała na etapie podpisywania umowy o dofinansowanie.</w:t>
      </w:r>
    </w:p>
    <w:p w:rsidR="00F96CF1" w:rsidRPr="006C113F" w:rsidRDefault="00025462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Wzór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oświadczenia o otrzymanej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, jakie wnioskodawca/partner otrzymał w ciągu minionych 3 lat oraz Formularz</w:t>
      </w:r>
      <w:r w:rsidR="00F04B44" w:rsidRPr="006C113F">
        <w:rPr>
          <w:rFonts w:eastAsia="Times New Roman" w:cstheme="minorHAnsi"/>
          <w:color w:val="212529"/>
          <w:sz w:val="24"/>
          <w:szCs w:val="24"/>
          <w:lang w:eastAsia="pl-PL"/>
        </w:rPr>
        <w:t>a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informacji przedstawianych przy ubieganiu się o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można pobrać</w:t>
      </w:r>
      <w:r w:rsidR="00F96CF1"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ze strony www: </w:t>
      </w:r>
      <w:hyperlink r:id="rId11" w:anchor="toc-pomoc-de-minimis-wzory" w:history="1">
        <w:r w:rsidR="00F96CF1"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https://funduszeuepomorskie.pl/nabory/7281-56-adaptacyjnosc-pracownikow-i-pracodawcow#toc-pomoc-de-minimis-wzory</w:t>
        </w:r>
      </w:hyperlink>
    </w:p>
    <w:p w:rsidR="00E737A1" w:rsidRPr="006C113F" w:rsidRDefault="00E737A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 PROJEKTU</w:t>
      </w:r>
    </w:p>
    <w:p w:rsidR="008122A4" w:rsidRPr="006C113F" w:rsidRDefault="008122A4" w:rsidP="006C113F">
      <w:pPr>
        <w:pStyle w:val="Akapitzlist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w projekcie składanym w odpowiedzi na nabór nr FEPM.05.06-IZ.00-001/2</w:t>
      </w:r>
      <w:r w:rsidR="00025462" w:rsidRPr="006C113F">
        <w:rPr>
          <w:b/>
          <w:sz w:val="24"/>
          <w:szCs w:val="24"/>
        </w:rPr>
        <w:t>5</w:t>
      </w:r>
      <w:r w:rsidRPr="006C113F">
        <w:rPr>
          <w:b/>
          <w:sz w:val="24"/>
          <w:szCs w:val="24"/>
        </w:rPr>
        <w:t xml:space="preserve"> jest możliwość realizacji wsparcia w zakresie podnoszenia kwalifikacji i kompetencji zawodowych pracodawców i ich pracowników?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.0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.202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r.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Nie. Zgodnie z kryterium formalnym specyficznym - </w:t>
      </w:r>
      <w:r w:rsidRPr="006C113F">
        <w:rPr>
          <w:rFonts w:cstheme="minorHAnsi"/>
          <w:sz w:val="24"/>
          <w:szCs w:val="24"/>
        </w:rPr>
        <w:t xml:space="preserve">Zgodność ze szczegółowymi uwarunkowaniami określonymi dla naboru - 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działania w ramach projektu obejmują wyłącznie wsparcie pracodawców w zakresie adaptacji środowiska pracy do potrzeb różnych grup pracowników oraz wprowadzania elastycznych form zatrudnienia. Z tego względu, co podkreślono w podrozdziale 2.3.1 pkt 11 lit. b. </w:t>
      </w:r>
      <w:r w:rsidRPr="006C113F">
        <w:rPr>
          <w:rFonts w:eastAsia="Times New Roman" w:cstheme="minorHAnsi"/>
          <w:bCs/>
          <w:color w:val="212529"/>
          <w:sz w:val="24"/>
          <w:szCs w:val="24"/>
          <w:lang w:eastAsia="pl-PL"/>
        </w:rPr>
        <w:t>Regulaminu wyboru projektów w ramach programu regionalnego Fundusze Europejskie dla Pomorza 2021-2027 Działanie 5.6. Adaptacyjność pracowników i pracodawców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, </w:t>
      </w:r>
      <w:r w:rsidRPr="006C113F">
        <w:rPr>
          <w:rFonts w:cstheme="minorHAnsi"/>
          <w:b/>
          <w:color w:val="000000" w:themeColor="text1"/>
          <w:sz w:val="24"/>
          <w:szCs w:val="24"/>
        </w:rPr>
        <w:t>w naborze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 </w:t>
      </w:r>
      <w:r w:rsidRPr="006C113F">
        <w:rPr>
          <w:b/>
          <w:sz w:val="24"/>
          <w:szCs w:val="24"/>
        </w:rPr>
        <w:t xml:space="preserve">nie jest możliwe sfinansowanie </w:t>
      </w:r>
      <w:r w:rsidRPr="006C113F">
        <w:rPr>
          <w:sz w:val="24"/>
          <w:szCs w:val="24"/>
        </w:rPr>
        <w:t>szkoleń prowadzących do rozwoju umiejętności/kompetencji lub nabycia kwalifikacji.</w:t>
      </w:r>
    </w:p>
    <w:p w:rsidR="00C97BD5" w:rsidRPr="006C113F" w:rsidRDefault="00312C7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BUDŻET PROJEKTU</w:t>
      </w:r>
    </w:p>
    <w:p w:rsidR="00F96CF1" w:rsidRPr="006C113F" w:rsidRDefault="00F96CF1" w:rsidP="006C113F">
      <w:pPr>
        <w:pStyle w:val="Akapitzlist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w projekcie składanym w odpowiedzi na nabór nr FEPM.05.06-IZ.00-001/25 jest możliwość</w:t>
      </w:r>
      <w:r w:rsidR="00C97BD5" w:rsidRPr="006C113F">
        <w:rPr>
          <w:b/>
          <w:sz w:val="24"/>
          <w:szCs w:val="24"/>
        </w:rPr>
        <w:t xml:space="preserve"> </w:t>
      </w:r>
      <w:r w:rsidRPr="006C113F">
        <w:rPr>
          <w:b/>
          <w:sz w:val="24"/>
          <w:szCs w:val="24"/>
        </w:rPr>
        <w:t>stosowania metody rozliczania wydatków na podstawie kwot ryczałtowych określanych w oparciu o szczegółowy budżet projekt?</w:t>
      </w:r>
    </w:p>
    <w:p w:rsidR="00C97BD5" w:rsidRPr="006C113F" w:rsidRDefault="00C97BD5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Odp. z dnia </w:t>
      </w:r>
      <w:r w:rsidR="00F96CF1" w:rsidRPr="006C113F">
        <w:rPr>
          <w:b/>
          <w:sz w:val="24"/>
          <w:szCs w:val="24"/>
        </w:rPr>
        <w:t>20.05.2025 r.</w:t>
      </w:r>
    </w:p>
    <w:p w:rsidR="00F96CF1" w:rsidRPr="006C113F" w:rsidRDefault="00F96CF1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W ramach naboru, bez względu na wartość projektu, </w:t>
      </w:r>
      <w:r w:rsidRPr="006C113F">
        <w:rPr>
          <w:b/>
          <w:sz w:val="24"/>
          <w:szCs w:val="24"/>
        </w:rPr>
        <w:t>nie dopuszcza się stosowania metody rozliczania wydatków na podstawie kwot ryczałtowych</w:t>
      </w:r>
      <w:r w:rsidRPr="006C113F">
        <w:rPr>
          <w:sz w:val="24"/>
          <w:szCs w:val="24"/>
        </w:rPr>
        <w:t xml:space="preserve"> określanych przez beneficjenta w oparciu o szczegółowy </w:t>
      </w:r>
      <w:r w:rsidRPr="006C113F">
        <w:rPr>
          <w:sz w:val="24"/>
          <w:szCs w:val="24"/>
        </w:rPr>
        <w:lastRenderedPageBreak/>
        <w:t xml:space="preserve">budżet projektu. Koszty bezpośrednie powinny być rozliczane na podstawie rzeczywiście poniesionych wydatków. </w:t>
      </w:r>
    </w:p>
    <w:p w:rsidR="00C97BD5" w:rsidRPr="006C113F" w:rsidRDefault="00F96CF1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W projekcie należy ująć koszty pośrednie, które są rozliczane wyłącznie z wykorzystaniem stawek ryczałtowych określonych w podrozdziale 3.12 pkt 5 Wytycznych dotyczących kwalifikowalności wydatków na lata 2021-2027 oraz Zasadach realizacji projektów w ramach EFS+. Koszty pośrednie powinny stanowić ostatnie zadanie w projekcie.</w:t>
      </w:r>
    </w:p>
    <w:p w:rsidR="0014097E" w:rsidRPr="006C113F" w:rsidRDefault="0014097E" w:rsidP="006C113F">
      <w:pPr>
        <w:spacing w:line="360" w:lineRule="auto"/>
        <w:rPr>
          <w:b/>
          <w:sz w:val="24"/>
          <w:szCs w:val="24"/>
        </w:rPr>
      </w:pPr>
    </w:p>
    <w:p w:rsidR="006E6D3A" w:rsidRPr="006C113F" w:rsidRDefault="006E6D3A" w:rsidP="006C113F">
      <w:pPr>
        <w:spacing w:line="360" w:lineRule="auto"/>
        <w:rPr>
          <w:b/>
          <w:color w:val="2F5496" w:themeColor="accent1" w:themeShade="BF"/>
          <w:sz w:val="24"/>
          <w:szCs w:val="24"/>
        </w:rPr>
      </w:pPr>
      <w:r w:rsidRPr="006C113F">
        <w:rPr>
          <w:rFonts w:eastAsia="Times New Roman" w:cstheme="minorHAnsi"/>
          <w:b/>
          <w:color w:val="2F5496" w:themeColor="accent1" w:themeShade="BF"/>
          <w:sz w:val="24"/>
          <w:szCs w:val="24"/>
          <w:lang w:eastAsia="pl-PL"/>
        </w:rPr>
        <w:t>POMOC DE MINIMIS</w:t>
      </w:r>
    </w:p>
    <w:p w:rsidR="00E7062A" w:rsidRPr="006C113F" w:rsidRDefault="004E14DD" w:rsidP="006C113F">
      <w:pPr>
        <w:spacing w:line="360" w:lineRule="auto"/>
        <w:ind w:firstLine="708"/>
        <w:rPr>
          <w:b/>
          <w:sz w:val="24"/>
          <w:szCs w:val="24"/>
          <w:highlight w:val="yellow"/>
        </w:rPr>
      </w:pPr>
      <w:r w:rsidRPr="006C113F">
        <w:rPr>
          <w:b/>
          <w:sz w:val="24"/>
          <w:szCs w:val="24"/>
        </w:rPr>
        <w:t>1</w:t>
      </w:r>
      <w:r w:rsidR="00E7062A" w:rsidRPr="006C113F">
        <w:rPr>
          <w:b/>
          <w:sz w:val="24"/>
          <w:szCs w:val="24"/>
        </w:rPr>
        <w:t xml:space="preserve">. Jaki obecnie jest obowiązujący limit pomocy de </w:t>
      </w:r>
      <w:proofErr w:type="spellStart"/>
      <w:r w:rsidR="00E7062A" w:rsidRPr="006C113F">
        <w:rPr>
          <w:b/>
          <w:sz w:val="24"/>
          <w:szCs w:val="24"/>
        </w:rPr>
        <w:t>minimis</w:t>
      </w:r>
      <w:proofErr w:type="spellEnd"/>
      <w:r w:rsidR="00E7062A" w:rsidRPr="006C113F">
        <w:rPr>
          <w:b/>
          <w:sz w:val="24"/>
          <w:szCs w:val="24"/>
        </w:rPr>
        <w:t xml:space="preserve">? </w:t>
      </w:r>
    </w:p>
    <w:p w:rsidR="00E7062A" w:rsidRPr="006C113F" w:rsidRDefault="00E7062A" w:rsidP="006C113F">
      <w:pPr>
        <w:spacing w:line="360" w:lineRule="auto"/>
        <w:rPr>
          <w:b/>
          <w:sz w:val="24"/>
          <w:szCs w:val="24"/>
        </w:rPr>
      </w:pPr>
      <w:bookmarkStart w:id="0" w:name="_Hlk166243071"/>
      <w:r w:rsidRPr="006C113F">
        <w:rPr>
          <w:b/>
          <w:sz w:val="24"/>
          <w:szCs w:val="24"/>
        </w:rPr>
        <w:t xml:space="preserve">Odp. z dnia </w:t>
      </w:r>
      <w:r w:rsidR="00F3252F" w:rsidRPr="006C113F">
        <w:rPr>
          <w:b/>
          <w:sz w:val="24"/>
          <w:szCs w:val="24"/>
        </w:rPr>
        <w:t>20.05.2025 r.</w:t>
      </w:r>
    </w:p>
    <w:p w:rsidR="00E7062A" w:rsidRPr="006C113F" w:rsidRDefault="00E7062A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Pomoc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jest to pomoc zgodna z przepisami Rozporządzenia </w:t>
      </w:r>
      <w:r w:rsidR="004E14DD" w:rsidRPr="006C113F">
        <w:rPr>
          <w:sz w:val="24"/>
          <w:szCs w:val="24"/>
        </w:rPr>
        <w:t xml:space="preserve">Ministra Funduszy i Polityki Regionalnej z dnia 20 grudnia 2022 r. w sprawie udzielania pomocy de </w:t>
      </w:r>
      <w:proofErr w:type="spellStart"/>
      <w:r w:rsidR="004E14DD" w:rsidRPr="006C113F">
        <w:rPr>
          <w:sz w:val="24"/>
          <w:szCs w:val="24"/>
        </w:rPr>
        <w:t>minimis</w:t>
      </w:r>
      <w:proofErr w:type="spellEnd"/>
      <w:r w:rsidR="004E14DD" w:rsidRPr="006C113F">
        <w:rPr>
          <w:sz w:val="24"/>
          <w:szCs w:val="24"/>
        </w:rPr>
        <w:t xml:space="preserve"> oraz pomocy publicznej w ramach programów finansowanych z Europejskiego Funduszu Społecznego Plus (EFS+) na lata 2021-2027, zmienionego rozporządzeniem z dnia 17 lipca 2023 r. oraz rozporządzeniem z dnia 21 maja 2024 r. </w:t>
      </w:r>
      <w:r w:rsidRPr="006C113F">
        <w:rPr>
          <w:sz w:val="24"/>
          <w:szCs w:val="24"/>
        </w:rPr>
        <w:t xml:space="preserve">Obecnie obowiązujący limit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regulują zapisy Rozporządzenia Komisji (UE) nr </w:t>
      </w:r>
      <w:r w:rsidR="00C040BC" w:rsidRPr="006C113F">
        <w:rPr>
          <w:sz w:val="24"/>
          <w:szCs w:val="24"/>
        </w:rPr>
        <w:t>2023/2831</w:t>
      </w:r>
      <w:r w:rsidRPr="006C113F">
        <w:rPr>
          <w:sz w:val="24"/>
          <w:szCs w:val="24"/>
        </w:rPr>
        <w:t xml:space="preserve"> z dnia </w:t>
      </w:r>
      <w:r w:rsidR="00C040BC" w:rsidRPr="006C113F">
        <w:rPr>
          <w:sz w:val="24"/>
          <w:szCs w:val="24"/>
        </w:rPr>
        <w:t>13</w:t>
      </w:r>
      <w:r w:rsidRPr="006C113F">
        <w:rPr>
          <w:sz w:val="24"/>
          <w:szCs w:val="24"/>
        </w:rPr>
        <w:t xml:space="preserve"> grudnia 20</w:t>
      </w:r>
      <w:r w:rsidR="00C040BC" w:rsidRPr="006C113F">
        <w:rPr>
          <w:sz w:val="24"/>
          <w:szCs w:val="24"/>
        </w:rPr>
        <w:t>23</w:t>
      </w:r>
      <w:r w:rsidRPr="006C113F">
        <w:rPr>
          <w:sz w:val="24"/>
          <w:szCs w:val="24"/>
        </w:rPr>
        <w:t xml:space="preserve"> r. w sprawie stosowania art. 107 i 108 Traktatu o funkcjonowaniu Unii Europejskiej do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, zgodnie z którymi, całkowita kwota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przyznana przez państwo członkowskie jednemu przedsiębiorstwu nie może przekroczyć </w:t>
      </w:r>
      <w:r w:rsidR="00C040BC" w:rsidRPr="006C113F">
        <w:rPr>
          <w:b/>
          <w:bCs/>
          <w:sz w:val="24"/>
          <w:szCs w:val="24"/>
        </w:rPr>
        <w:t>3</w:t>
      </w:r>
      <w:r w:rsidRPr="006C113F">
        <w:rPr>
          <w:b/>
          <w:bCs/>
          <w:sz w:val="24"/>
          <w:szCs w:val="24"/>
        </w:rPr>
        <w:t xml:space="preserve">00 000 EUR </w:t>
      </w:r>
      <w:r w:rsidRPr="006C113F">
        <w:rPr>
          <w:sz w:val="24"/>
          <w:szCs w:val="24"/>
        </w:rPr>
        <w:t>w okresie trzech lat.</w:t>
      </w:r>
    </w:p>
    <w:bookmarkEnd w:id="0"/>
    <w:p w:rsidR="00E7062A" w:rsidRPr="006C113F" w:rsidRDefault="00E7062A" w:rsidP="006C113F">
      <w:pPr>
        <w:spacing w:line="360" w:lineRule="auto"/>
        <w:rPr>
          <w:b/>
          <w:sz w:val="24"/>
          <w:szCs w:val="24"/>
        </w:rPr>
      </w:pPr>
    </w:p>
    <w:p w:rsidR="00A5067C" w:rsidRPr="006C113F" w:rsidRDefault="008E38A4" w:rsidP="006C113F">
      <w:pPr>
        <w:pStyle w:val="Akapitzlist"/>
        <w:numPr>
          <w:ilvl w:val="0"/>
          <w:numId w:val="20"/>
        </w:numPr>
        <w:spacing w:line="360" w:lineRule="auto"/>
        <w:rPr>
          <w:rFonts w:eastAsia="Times New Roman"/>
          <w:b/>
          <w:sz w:val="24"/>
          <w:szCs w:val="24"/>
        </w:rPr>
      </w:pPr>
      <w:bookmarkStart w:id="1" w:name="_Hlk167266648"/>
      <w:r w:rsidRPr="006C113F">
        <w:rPr>
          <w:rFonts w:eastAsia="Times New Roman"/>
          <w:b/>
          <w:sz w:val="24"/>
          <w:szCs w:val="24"/>
        </w:rPr>
        <w:t xml:space="preserve">Czy wszystkie wydatki w ramach projektu powinny zostać oznaczone jako pomoc de </w:t>
      </w:r>
      <w:proofErr w:type="spellStart"/>
      <w:r w:rsidRPr="006C113F">
        <w:rPr>
          <w:rFonts w:eastAsia="Times New Roman"/>
          <w:b/>
          <w:sz w:val="24"/>
          <w:szCs w:val="24"/>
        </w:rPr>
        <w:t>minimis</w:t>
      </w:r>
      <w:proofErr w:type="spellEnd"/>
      <w:r w:rsidRPr="006C113F">
        <w:rPr>
          <w:rFonts w:eastAsia="Times New Roman"/>
          <w:b/>
          <w:sz w:val="24"/>
          <w:szCs w:val="24"/>
        </w:rPr>
        <w:t xml:space="preserve">? </w:t>
      </w:r>
    </w:p>
    <w:p w:rsidR="00A5067C" w:rsidRPr="006C113F" w:rsidRDefault="00A5067C" w:rsidP="006C113F">
      <w:pPr>
        <w:spacing w:line="360" w:lineRule="auto"/>
        <w:rPr>
          <w:sz w:val="24"/>
          <w:szCs w:val="24"/>
        </w:rPr>
      </w:pPr>
      <w:r w:rsidRPr="006C113F">
        <w:rPr>
          <w:b/>
          <w:sz w:val="24"/>
          <w:szCs w:val="24"/>
        </w:rPr>
        <w:t xml:space="preserve">Odp. z dnia </w:t>
      </w:r>
      <w:r w:rsidR="00F3252F" w:rsidRPr="006C113F">
        <w:rPr>
          <w:b/>
          <w:sz w:val="24"/>
          <w:szCs w:val="24"/>
        </w:rPr>
        <w:t>20.05.2025 r.</w:t>
      </w:r>
    </w:p>
    <w:p w:rsidR="008E38A4" w:rsidRPr="006C113F" w:rsidRDefault="008E38A4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Kwestia oznaczenia wydatków jako pomoc </w:t>
      </w:r>
      <w:r w:rsidRPr="006C113F">
        <w:rPr>
          <w:i/>
          <w:iCs/>
          <w:sz w:val="24"/>
          <w:szCs w:val="24"/>
        </w:rPr>
        <w:t xml:space="preserve">de </w:t>
      </w:r>
      <w:proofErr w:type="spellStart"/>
      <w:r w:rsidRPr="006C113F">
        <w:rPr>
          <w:i/>
          <w:iCs/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będzie uzależniona od roli jaką będzie pełnił Wnioskodawca w projekcie. W projekcie zamkniętym, w którym Wnioskodawca jest jednocześnie beneficjentem pomocy, wszystkie wydatki w budżecie projektu będą oznaczone jako pomoc </w:t>
      </w:r>
      <w:r w:rsidRPr="006C113F">
        <w:rPr>
          <w:i/>
          <w:iCs/>
          <w:sz w:val="24"/>
          <w:szCs w:val="24"/>
        </w:rPr>
        <w:t xml:space="preserve">de </w:t>
      </w:r>
      <w:proofErr w:type="spellStart"/>
      <w:r w:rsidRPr="006C113F">
        <w:rPr>
          <w:i/>
          <w:iCs/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. </w:t>
      </w:r>
    </w:p>
    <w:p w:rsidR="00A5067C" w:rsidRPr="006C113F" w:rsidRDefault="00A5067C" w:rsidP="006C113F">
      <w:pPr>
        <w:spacing w:line="360" w:lineRule="auto"/>
        <w:ind w:left="708"/>
        <w:rPr>
          <w:sz w:val="24"/>
          <w:szCs w:val="24"/>
        </w:rPr>
      </w:pPr>
    </w:p>
    <w:bookmarkEnd w:id="1"/>
    <w:p w:rsidR="006C113F" w:rsidRPr="006C113F" w:rsidRDefault="006C113F" w:rsidP="006C113F">
      <w:pPr>
        <w:pStyle w:val="Nagwek1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6C113F">
        <w:rPr>
          <w:rFonts w:eastAsia="Times New Roman"/>
          <w:b/>
          <w:sz w:val="24"/>
          <w:szCs w:val="24"/>
          <w:lang w:eastAsia="pl-PL"/>
        </w:rPr>
        <w:lastRenderedPageBreak/>
        <w:t>WSPARCIE</w:t>
      </w:r>
    </w:p>
    <w:p w:rsidR="008E38A4" w:rsidRPr="006C113F" w:rsidRDefault="006C113F" w:rsidP="006C113F">
      <w:pPr>
        <w:pStyle w:val="Akapitzlist"/>
        <w:numPr>
          <w:ilvl w:val="0"/>
          <w:numId w:val="33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projekt może obejmować wyłącznie realizację działań takich jak: utworzenie zdalnych stanowisk pracy i organizację przestrzeni poprawiającej warunki pracy? (oczywiście wynikałoby to z przeprowadzonej diagnozy, bo takie są potrzeby pracodawcy). Tym samym wszelkie koszty projektu związane byłyby z zakupem niezbędnego sprzętu, oprogramowania itp. oraz ewentualnym pracami remontowymi.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Odp. z dnia 02.06.2025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Zgodnie z kryterium Zgodność ze szczegółowymi uwarunkowaniami określonymi dla naboru weryfikacji w trakcie oceny podlega m.in. czy działania w ramach projektu obejmują wyłącznie wsparcie pracodawców w zakresie adaptacji środowiska pracy do potrzeb różnych grup pracowników oraz wprowadzania elastycznych form zatrudnienia? W świetle informacji zawartych w Regulaminie wyboru projektów w ramach programu regionalnego Fundusze Europejskie dla Pomorza 2021-2027 dla Działania 5.6. (dalej RWP) powyższe oznacza, że zakres działań może obejmować jedną z powyższych kategorii wsparcia lub obie łącznie, w zależności od potrzeb pracodawcy, wynikających z przeprowadzonej diagnozy. Realizacja wyłącznie takich działań jest zatem możliwa w ramach naboru.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Należy jednak zwrócić uwagę, że zgodnie z podrozdziałem 2.3.1. pkt 8 RWP celem utworzenia zdalnego stanowiska pracy jest umożliwienie pracownikom regularnego wykonywania pracy poza zakładem pracy i tym samym wspieranie ich w zakresie łączenia życia zawodowego z życiem prywatnym. Nie może być to zatem okazjonalna praca zdalna.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Ponadto, w świetle postanowień ww. podrozdziału pkt 10, celem organizacji przestrzeni poprawiającej warunki pracy jest wsparcie pracodawcy w zakresie organizacji przestrzeni sprzyjającej poprawie komunikacji i integracji międzypokoleniowej, czy przeciwdziałaniu wypaleniu zawodowemu pracowników, co w dłuższej perspektywie będzie sprzyjało wydłużeniu ich aktywności zawodowej. Nie może być to zatem dowolna organizacja przestrzeni, ale taka, która poprawia warunki pracy i wpisuje się w warunki naboru.</w:t>
      </w:r>
    </w:p>
    <w:p w:rsidR="006E6D3A" w:rsidRPr="006C113F" w:rsidRDefault="006E6D3A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pStyle w:val="Akapitzlist"/>
        <w:numPr>
          <w:ilvl w:val="0"/>
          <w:numId w:val="33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Zwracam się z zapytaniem czy zaplanowane poniższe działania mieszczą się w katalogu kosztów kwalifikowalnych w ramach projektu składanego w ramach naboru 5.6 Adaptacyjność pracodawców i pracowników.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Diagnoza wskazuje na potrzebę przeprowadzenia u pracodawcy dostosowania organizacji pracy do potrzeb pracodawców i pracowników, a także do nowych wyzwań rozwojowych i cywilizacyjnych poprzez m.in.: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lastRenderedPageBreak/>
        <w:t xml:space="preserve">wsparcie i aktualizacja procesów kadrowych, z uwzględnieniem zarządzania różnorodnością; realizacja poprzez </w:t>
      </w:r>
      <w:r w:rsidRPr="006C113F">
        <w:rPr>
          <w:b/>
          <w:bCs/>
          <w:sz w:val="24"/>
          <w:szCs w:val="24"/>
        </w:rPr>
        <w:t>cykl szkoleń</w:t>
      </w:r>
      <w:r w:rsidRPr="006C113F">
        <w:rPr>
          <w:b/>
          <w:sz w:val="24"/>
          <w:szCs w:val="24"/>
        </w:rPr>
        <w:t xml:space="preserve"> – podmiot jest zróżnicowany pod względem wieku, płci, stylów pracy oraz doświadczenia zawodowego, a instytucja na co dzień współpracuje z szerokim gronem odbiorców i partnerów reprezentujących różnorodne środowiska. W związku z tym pojawia się potrzeba pogłębienia kompetencji w zakresie świadomego zarządzania różnorodnością, eliminowania nieuświadomionych uprzedzeń oraz budowania włączającej kultury organizacyjnej. Szkolenia dla kadry zarządzającej i pracowników pozwolą zwiększyć świadomość zagrożeń wynikających z potencjalnej dyskryminacji (w tym ze względu na płeć, wiek, niepełnosprawność czy światopogląd), a także wyposażą uczestników w praktyczne narzędzia wspierające komunikację, rozwiązywanie konfliktów i budowanie zespołów opartych na wzajemnym szacunku.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w opracowaniu procedur, czy mechanizmów, które ułatwią kadrze zarządzającej/działom HR wprowadzanie elastycznych form organizacji pracy - </w:t>
      </w:r>
      <w:r w:rsidRPr="006C113F">
        <w:rPr>
          <w:b/>
          <w:bCs/>
          <w:sz w:val="24"/>
          <w:szCs w:val="24"/>
        </w:rPr>
        <w:t>zarządzanie zmianą</w:t>
      </w:r>
      <w:r w:rsidRPr="006C113F">
        <w:rPr>
          <w:b/>
          <w:sz w:val="24"/>
          <w:szCs w:val="24"/>
        </w:rPr>
        <w:t xml:space="preserve"> – </w:t>
      </w:r>
      <w:r w:rsidRPr="006C113F">
        <w:rPr>
          <w:b/>
          <w:bCs/>
          <w:sz w:val="24"/>
          <w:szCs w:val="24"/>
        </w:rPr>
        <w:t>usługa</w:t>
      </w:r>
      <w:r w:rsidRPr="006C113F">
        <w:rPr>
          <w:b/>
          <w:sz w:val="24"/>
          <w:szCs w:val="24"/>
        </w:rPr>
        <w:t xml:space="preserve"> - zewnętrzny podmiot przeprowadzający pracodawcę i pracowników przez proces zmian – nowa Dyrekcja oraz nowa strategia rozwoju instytucji w zderzeniu z pracownikami zatrudnionymi w podmiocie (np. ponad 10, 15 lat) wymaga obiektywnego podejścia, zastosowania wsparcia procesów poprzez wsparcie </w:t>
      </w:r>
      <w:proofErr w:type="spellStart"/>
      <w:r w:rsidRPr="006C113F">
        <w:rPr>
          <w:b/>
          <w:sz w:val="24"/>
          <w:szCs w:val="24"/>
        </w:rPr>
        <w:t>coachów</w:t>
      </w:r>
      <w:proofErr w:type="spellEnd"/>
      <w:r w:rsidRPr="006C113F">
        <w:rPr>
          <w:b/>
          <w:sz w:val="24"/>
          <w:szCs w:val="24"/>
        </w:rPr>
        <w:t>, specjalistów od transformacji;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z zakresu pracy w zespołach wielopokoleniowych i przeciwdziałania dyskryminacji poprzez </w:t>
      </w:r>
      <w:r w:rsidRPr="006C113F">
        <w:rPr>
          <w:b/>
          <w:bCs/>
          <w:sz w:val="24"/>
          <w:szCs w:val="24"/>
        </w:rPr>
        <w:t xml:space="preserve">indywidualne badanie talentów </w:t>
      </w:r>
      <w:r w:rsidRPr="006C113F">
        <w:rPr>
          <w:b/>
          <w:sz w:val="24"/>
          <w:szCs w:val="24"/>
        </w:rPr>
        <w:t>oparte na uznanych narzędziach diagnostycznych, pozwoli lepiej zrozumieć mocne strony członków zespołu, niezależnie od wieku czy stażu pracy. Wyniki posłużą jako podstawa do budowania synergii w pracy zespołowej, zwiększenia efektywności komunikacji oraz przeciwdziałania stereotypom i potencjalnym formom dyskryminacji.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i aktualizacja procesów kadrowych, z uwzględnieniem zarządzania różnorodnością – poprzez </w:t>
      </w:r>
      <w:r w:rsidRPr="006C113F">
        <w:rPr>
          <w:b/>
          <w:bCs/>
          <w:sz w:val="24"/>
          <w:szCs w:val="24"/>
        </w:rPr>
        <w:t>wprowadzenie systemu ocen pracowniczych</w:t>
      </w:r>
      <w:r w:rsidRPr="006C113F">
        <w:rPr>
          <w:b/>
          <w:sz w:val="24"/>
          <w:szCs w:val="24"/>
        </w:rPr>
        <w:t xml:space="preserve"> opartego na metodzie 360 stopni - zostanie wykorzystany do zebrania wieloaspektowej informacji zwrotnej od współpracowników, przełożonych i podwładnych, co pozwoli lepiej zidentyfikować potrzeby rozwojowe pracowników oraz dopasować działania kadrowe do różnorodności stylów pracy i doświadczeń w zespole (zaplanowane koszty  - wsparcie doradcze przy wdrożeniu, szkolenie kadry zarządzającej i pracowniczki ds. kadr);</w:t>
      </w:r>
      <w:bookmarkStart w:id="2" w:name="_Hlk199930628"/>
      <w:bookmarkStart w:id="3" w:name="_Hlk199931069"/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z zakresu pracy w zespołach wielopokoleniowych i przeciwdziałania dyskryminacji </w:t>
      </w:r>
      <w:bookmarkEnd w:id="2"/>
      <w:r w:rsidRPr="006C113F">
        <w:rPr>
          <w:b/>
          <w:sz w:val="24"/>
          <w:szCs w:val="24"/>
        </w:rPr>
        <w:t>w szczególności ze względu na płeć, rasę, pochodzenie etniczne, religię, światopogląd, niepełnosprawność, wiek, orientację seksualną dla kadry zarządzającej i pracowników</w:t>
      </w:r>
      <w:bookmarkEnd w:id="3"/>
      <w:r w:rsidRPr="006C113F">
        <w:rPr>
          <w:b/>
          <w:sz w:val="24"/>
          <w:szCs w:val="24"/>
        </w:rPr>
        <w:t xml:space="preserve"> – </w:t>
      </w:r>
      <w:r w:rsidRPr="006C113F">
        <w:rPr>
          <w:b/>
          <w:sz w:val="24"/>
          <w:szCs w:val="24"/>
        </w:rPr>
        <w:lastRenderedPageBreak/>
        <w:t xml:space="preserve">realizacja poprzez </w:t>
      </w:r>
      <w:r w:rsidRPr="006C113F">
        <w:rPr>
          <w:b/>
          <w:bCs/>
          <w:sz w:val="24"/>
          <w:szCs w:val="24"/>
        </w:rPr>
        <w:t>indywidualne konsultacje psychologiczne</w:t>
      </w:r>
      <w:r w:rsidRPr="006C113F">
        <w:rPr>
          <w:b/>
          <w:sz w:val="24"/>
          <w:szCs w:val="24"/>
        </w:rPr>
        <w:t xml:space="preserve"> – pakiet godzin wsparcia dla pracowników zgłaszających potrzebę w związku z trudnościami w pracy w zespole wielopokoleniowym;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Odp. z dnia 04.06.2025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C113F">
        <w:rPr>
          <w:sz w:val="24"/>
          <w:szCs w:val="24"/>
        </w:rPr>
        <w:t xml:space="preserve">Wskazane w pytaniu nr 2-5 formy wsparcia nie są wykluczone z realizacji w ramach przedmiotowego naboru., należy jednak mieć na uwadze, że zgodnie z pkt. 11 podrozdziału 2.3.1 Regulaminu wyboru projektów, </w:t>
      </w:r>
      <w:r w:rsidRPr="006C113F">
        <w:rPr>
          <w:b/>
          <w:sz w:val="24"/>
          <w:szCs w:val="24"/>
        </w:rPr>
        <w:t xml:space="preserve">w ramach naboru nie jest możliwe sfinansowanie </w:t>
      </w:r>
      <w:r w:rsidRPr="006C113F">
        <w:rPr>
          <w:sz w:val="24"/>
          <w:szCs w:val="24"/>
        </w:rPr>
        <w:t>wydatków związanych z diagnostyką i leczeniem.</w:t>
      </w:r>
      <w:r w:rsidRPr="006C113F">
        <w:rPr>
          <w:color w:val="000000" w:themeColor="text1"/>
          <w:sz w:val="24"/>
          <w:szCs w:val="24"/>
        </w:rPr>
        <w:t xml:space="preserve"> Fakt jednak, iż dana forma wsparcia nie jest zabroniona, nie oznacza jednak automatycznie jej sfinansowania. Każde działanie i wydatek z nim związany powinien być bowiem uzasadniony, wynikać z diagnozy potrzeb oraz będzie podlegał ocenie podczas prac Komisji Oceny Projektów </w:t>
      </w:r>
      <w:r w:rsidRPr="006C113F">
        <w:rPr>
          <w:b/>
          <w:bCs/>
          <w:color w:val="000000" w:themeColor="text1"/>
          <w:sz w:val="24"/>
          <w:szCs w:val="24"/>
        </w:rPr>
        <w:t>w oparciu o całościową treść projektu</w:t>
      </w:r>
      <w:r w:rsidRPr="006C113F">
        <w:rPr>
          <w:color w:val="000000" w:themeColor="text1"/>
          <w:sz w:val="24"/>
          <w:szCs w:val="24"/>
        </w:rPr>
        <w:t xml:space="preserve"> – opis grupy docelowej, wyniki diagnozy przeprowadzonej przez pracodawcę oraz innych aspektów wynikających z kryteriów wyboru projektów (w tym kwalifikowalności) oraz treści Regulaminu.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6C113F">
        <w:rPr>
          <w:sz w:val="24"/>
          <w:szCs w:val="24"/>
        </w:rPr>
        <w:t xml:space="preserve">Jeśli chodzi o szkolenia, o których mowa w pytaniu nr 1, a także wspomniane w nim </w:t>
      </w:r>
      <w:r w:rsidRPr="006C113F">
        <w:rPr>
          <w:b/>
          <w:sz w:val="24"/>
          <w:szCs w:val="24"/>
        </w:rPr>
        <w:t>kompetencje</w:t>
      </w:r>
      <w:r w:rsidRPr="006C113F">
        <w:rPr>
          <w:sz w:val="24"/>
          <w:szCs w:val="24"/>
        </w:rPr>
        <w:t xml:space="preserve">, należy mieć na względzie, że zgodnie z pkt. 11 podrozdziału 2.3.1 Regulaminu wyboru projektów, </w:t>
      </w:r>
      <w:r w:rsidRPr="006C113F">
        <w:rPr>
          <w:b/>
          <w:sz w:val="24"/>
          <w:szCs w:val="24"/>
        </w:rPr>
        <w:t xml:space="preserve">w ramach naboru nie jest możliwe sfinansowanie </w:t>
      </w:r>
      <w:r w:rsidRPr="006C113F">
        <w:rPr>
          <w:sz w:val="24"/>
          <w:szCs w:val="24"/>
        </w:rPr>
        <w:t xml:space="preserve">szkoleń prowadzących </w:t>
      </w:r>
      <w:r w:rsidRPr="006C113F">
        <w:rPr>
          <w:b/>
          <w:sz w:val="24"/>
          <w:szCs w:val="24"/>
        </w:rPr>
        <w:t>do rozwoju umiejętności/kompetencji lub nabycia kwalifikacji</w:t>
      </w:r>
      <w:r w:rsidRPr="006C113F">
        <w:rPr>
          <w:sz w:val="24"/>
          <w:szCs w:val="24"/>
        </w:rPr>
        <w:t>. S</w:t>
      </w:r>
      <w:r w:rsidRPr="006C113F">
        <w:rPr>
          <w:rFonts w:cstheme="minorHAnsi"/>
          <w:sz w:val="24"/>
          <w:szCs w:val="24"/>
        </w:rPr>
        <w:t>zkolenia realizowane w projekcie muszą być bezpośrednio powiązane i dotyczyć adaptacji środowiska pracy do potrzeb pracodawców i ich pracowników oraz wdrażania elastycznych form zatrudnienia.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C113F" w:rsidRPr="006C113F" w:rsidRDefault="006C113F" w:rsidP="006C113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 w:rsidRPr="006C113F">
        <w:rPr>
          <w:b/>
          <w:sz w:val="24"/>
          <w:szCs w:val="24"/>
        </w:rPr>
        <w:t>Po wstępnej diagnozie potrzeb związanych z adaptacyjnością pracowników mamy zapytanie odnośnie zakresu wsparcia: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w ramach przykładowego działania z części 2.3.1. regulaminu pkt. 7 litera i) można utworzyć hybrydowe miejsce pracy tj. w formule mieszanej w siedzibie pracodawcy i zdalnej, zgodnie z przepisami kodeksu pracy o okazjonalnej pracy w wymiarze do 24 dni w skali roku oraz zakupić sprzęt i wyposażenie, licencje i oprogramowania dot. takiego stanowiska pracy. 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w ramach przykładowego działania z pkt. 7 litera h) i k) można kwalifikować wyposażenie stanowisk pracy biurowych w siedzibie pracodawcy, które będą wyposażone w sprzęt podstawowy, w tym monitor ekranowy, klawiaturę, mysz, krzesło, stół  i opcjonalnym wyposażeniem dodatkowym, w tym stacją dysków, drukarką, skanerem, uchwytem na dokumenty, podnóżkiem – zgodnie z rozporządzeniem Ministra Rodziny i polityki społecznej </w:t>
      </w:r>
      <w:r w:rsidRPr="006C113F">
        <w:rPr>
          <w:rFonts w:eastAsia="Times New Roman"/>
          <w:b/>
          <w:sz w:val="24"/>
          <w:szCs w:val="24"/>
        </w:rPr>
        <w:lastRenderedPageBreak/>
        <w:t>w sprawie bezpieczeństwa i higieny pracy na stanowiskach wyposażonych w monitory ekranowe (zmiana z 2023 r.) ?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przykładowy zakres szkoleń w ramach działania pkt. 7 lit. f) może obejmować szkolenia typu </w:t>
      </w:r>
      <w:proofErr w:type="spellStart"/>
      <w:r w:rsidRPr="006C113F">
        <w:rPr>
          <w:rFonts w:eastAsia="Times New Roman"/>
          <w:b/>
          <w:sz w:val="24"/>
          <w:szCs w:val="24"/>
        </w:rPr>
        <w:t>work</w:t>
      </w:r>
      <w:proofErr w:type="spellEnd"/>
      <w:r w:rsidRPr="006C113F">
        <w:rPr>
          <w:rFonts w:eastAsia="Times New Roman"/>
          <w:b/>
          <w:sz w:val="24"/>
          <w:szCs w:val="24"/>
        </w:rPr>
        <w:t xml:space="preserve">-life-balanse i o tematyce przeciwdziałania wypaleniu zawodowemu ?  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możliwe jest kwalifikowanie spotkań integracyjnych, (gier integracyjnych, zespołowych typu team </w:t>
      </w:r>
      <w:proofErr w:type="spellStart"/>
      <w:r w:rsidRPr="006C113F">
        <w:rPr>
          <w:rFonts w:eastAsia="Times New Roman"/>
          <w:b/>
          <w:sz w:val="24"/>
          <w:szCs w:val="24"/>
        </w:rPr>
        <w:t>building</w:t>
      </w:r>
      <w:proofErr w:type="spellEnd"/>
      <w:r w:rsidRPr="006C113F">
        <w:rPr>
          <w:rFonts w:eastAsia="Times New Roman"/>
          <w:b/>
          <w:sz w:val="24"/>
          <w:szCs w:val="24"/>
        </w:rPr>
        <w:t>) w ramach przykładowego działania pkt. 7 lit. g) regulaminu – tj. wsparcie w zakresie pracy w zespołach wielopokoleniowych i przeciwdziałaniu dyskryminacji ?  </w:t>
      </w:r>
    </w:p>
    <w:p w:rsidR="006C113F" w:rsidRDefault="006C113F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bookmarkStart w:id="4" w:name="_Hlk200627154"/>
      <w:r w:rsidRPr="006C113F">
        <w:rPr>
          <w:b/>
          <w:sz w:val="24"/>
          <w:szCs w:val="24"/>
        </w:rPr>
        <w:t>Odp. z dnia 04.06.2025</w:t>
      </w:r>
    </w:p>
    <w:bookmarkEnd w:id="4"/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Ad a)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Celem naboru nr 5.6. jest adaptacyjność i dostosowanie organizacji pracy do potrzeb pracodawców i pracowników, a także do nowych wyzwań rozwojowych i cywilizacyjnych, w tym związanych z obszarem zielonej gospodarki oraz gospodarki o obiegu zamkniętym</w:t>
      </w:r>
      <w:r w:rsidRPr="006C113F">
        <w:rPr>
          <w:b/>
          <w:sz w:val="24"/>
          <w:szCs w:val="24"/>
        </w:rPr>
        <w:t>.</w:t>
      </w:r>
      <w:r w:rsidRPr="006C113F">
        <w:rPr>
          <w:sz w:val="24"/>
          <w:szCs w:val="24"/>
        </w:rPr>
        <w:t xml:space="preserve"> Realizacja tych działań będzie odbywać się zwłaszcza poprzez wprowadzania elastycznych form zatrudnienia, czy pracy zdalnej. Zgodnie z pkt 8 podrozdziału 2.3.1 Regulaminu wyboru projektów (dalej RWP), celem </w:t>
      </w:r>
      <w:r w:rsidRPr="006C113F">
        <w:rPr>
          <w:b/>
          <w:sz w:val="24"/>
          <w:szCs w:val="24"/>
        </w:rPr>
        <w:t>utworzenia zdalnego stanowiska pracy</w:t>
      </w:r>
      <w:r w:rsidRPr="006C113F">
        <w:rPr>
          <w:sz w:val="24"/>
          <w:szCs w:val="24"/>
        </w:rPr>
        <w:t xml:space="preserve"> jest umożliwienie pracownikom regularnego wykonywania pracy poza zakładem pracy i tym samym wspieranie ich w zakresie łączenia życia zawodowego z życiem prywatnym. W ramach tej formy wsparcia dofinansowane mogą zostać koszty zakupu sprzętu, wyposażenia, dostosowania infrastruktury u pracodawcy, w tym zakupu licencji, oprogramowania itp. </w:t>
      </w:r>
      <w:r w:rsidRPr="006C113F">
        <w:rPr>
          <w:b/>
          <w:sz w:val="24"/>
          <w:szCs w:val="24"/>
        </w:rPr>
        <w:t>niezbędnych do wykonywania pracy w formie zdalnej</w:t>
      </w:r>
      <w:r w:rsidRPr="006C113F">
        <w:rPr>
          <w:sz w:val="24"/>
          <w:szCs w:val="24"/>
        </w:rPr>
        <w:t>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Celem naboru nie jest wyposażenie pracodawcy w sprzęt/licencje/oprogramowanie, ale wsparcie pracodawcy w procesie adaptacji w zakresie np. </w:t>
      </w:r>
      <w:r w:rsidRPr="006C113F">
        <w:rPr>
          <w:b/>
          <w:sz w:val="24"/>
          <w:szCs w:val="24"/>
        </w:rPr>
        <w:t>regularnego</w:t>
      </w:r>
      <w:r w:rsidRPr="006C113F">
        <w:rPr>
          <w:sz w:val="24"/>
          <w:szCs w:val="24"/>
        </w:rPr>
        <w:t xml:space="preserve"> wykonywania pracy zdalnej przez pracowników w celu wspieranie ich w zakresie łączenia życia zawodowego z życiem prywatnym.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Ad b) i d)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Zgodnie z pkt 7 podrozdziału 2.3.1. RWP przykładowe formy działań, jakie mogą być realizowane w projekcie, to m.in.: </w:t>
      </w:r>
    </w:p>
    <w:p w:rsidR="006C113F" w:rsidRPr="006C113F" w:rsidRDefault="006C113F" w:rsidP="006C113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adaptacja miejsc pracy do potrzeb różnych grup pracowników, w szczególności kobiet, osób starszych, osób z problemami zdrowotnymi, osób z niepełnosprawnościami;</w:t>
      </w:r>
    </w:p>
    <w:p w:rsidR="006C113F" w:rsidRPr="006C113F" w:rsidRDefault="006C113F" w:rsidP="006C113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wsparcie z zakresu pracy w zespołach wielopokoleniowych i przeciwdziałania dyskryminacji w szczególności ze względu na płeć, rasę, pochodzenie etniczne, religię, światopogląd, niepełnosprawność, wiek, orientację seksualną dla kadry zarządzającej i pracowników;</w:t>
      </w:r>
    </w:p>
    <w:p w:rsidR="006C113F" w:rsidRPr="006C113F" w:rsidRDefault="006C113F" w:rsidP="006C113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organizacja przestrzeni poprawiającej warunki pracy.</w:t>
      </w:r>
    </w:p>
    <w:p w:rsidR="006C113F" w:rsidRPr="006C113F" w:rsidRDefault="006C113F" w:rsidP="006C113F">
      <w:pPr>
        <w:spacing w:before="60" w:line="360" w:lineRule="auto"/>
        <w:rPr>
          <w:rFonts w:eastAsia="Times New Roman"/>
          <w:sz w:val="24"/>
          <w:szCs w:val="24"/>
        </w:rPr>
      </w:pPr>
      <w:r w:rsidRPr="006C113F">
        <w:rPr>
          <w:sz w:val="24"/>
          <w:szCs w:val="24"/>
        </w:rPr>
        <w:lastRenderedPageBreak/>
        <w:t xml:space="preserve">Zakup sprzętu, nie jest zatem wykluczony, należy mieć jednak na względzie, że musi być on </w:t>
      </w:r>
      <w:r w:rsidRPr="006C113F">
        <w:rPr>
          <w:b/>
          <w:sz w:val="24"/>
          <w:szCs w:val="24"/>
        </w:rPr>
        <w:t>dostosowany do potrzeb różnych grup pracowników</w:t>
      </w:r>
      <w:r w:rsidRPr="006C113F">
        <w:rPr>
          <w:sz w:val="24"/>
          <w:szCs w:val="24"/>
        </w:rPr>
        <w:t xml:space="preserve">, a zatem wynikać z przeprowadzonej diagnozy. Celem naboru jest bowiem adaptacyjność, w tym uwzględnienie potrzeb różnych grup pracowników, a nie jedynie wyposażenie w podstawowy sprzęt, którego obowiązek zapewnienia wynika z </w:t>
      </w:r>
      <w:r w:rsidRPr="006C113F">
        <w:rPr>
          <w:rFonts w:eastAsia="Times New Roman"/>
          <w:sz w:val="24"/>
          <w:szCs w:val="24"/>
        </w:rPr>
        <w:t>rozporządzenia Ministra pracy i polityki socjalnej w sprawie bezpieczeństwa i higieny pracy na stanowiskach wyposażonych w monitory ekranowe.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Ponadto, należy mieć na względzie, że w świetle pkt 10 podrozdziału RWP celem </w:t>
      </w:r>
      <w:r w:rsidRPr="006C113F">
        <w:rPr>
          <w:b/>
          <w:sz w:val="24"/>
          <w:szCs w:val="24"/>
        </w:rPr>
        <w:t>organizacji przestrzeni poprawiającej warunki pracy</w:t>
      </w:r>
      <w:r w:rsidRPr="006C113F">
        <w:rPr>
          <w:sz w:val="24"/>
          <w:szCs w:val="24"/>
        </w:rPr>
        <w:t xml:space="preserve"> jest wsparcie pracodawcy w zakresie organizacji przestrzeni sprzyjającej poprawie komunikacji i integracji międzypokoleniowej, czy przeciwdziałaniu wypaleniu zawodowemu pracowników, </w:t>
      </w:r>
      <w:r w:rsidRPr="006C113F">
        <w:rPr>
          <w:b/>
          <w:sz w:val="24"/>
          <w:szCs w:val="24"/>
        </w:rPr>
        <w:t>co w dłuższej perspektywie będzie sprzyjało wydłużeniu ich aktywności zawodowej</w:t>
      </w:r>
      <w:r w:rsidRPr="006C113F">
        <w:rPr>
          <w:sz w:val="24"/>
          <w:szCs w:val="24"/>
        </w:rPr>
        <w:t>. W ramach tej formy wsparcia dofinansowane mogą zostać koszty adaptacji pomieszczeń i zakupu wyposażenia poniesione na organizację przestrzeni pracy, jednak nie może być to dowolny sprzęt, a tylko taki, który będzie służył osiągnięciu wskazanego celu.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W świetle postanowień RWP organizacja imprezy integracyjnej nie jest zabroniona, jeśli będzie służyła osiągnięciu celu naboru.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6C113F">
        <w:rPr>
          <w:color w:val="000000" w:themeColor="text1"/>
          <w:sz w:val="24"/>
          <w:szCs w:val="24"/>
        </w:rPr>
        <w:t xml:space="preserve">Fakt jednak, iż dana forma wsparcia nie jest wykluczona, nie oznacza jednak automatycznie jej sfinansowania. Każde działanie i wydatek z nim związany powinien być bowiem uzasadniony, wynikać z diagnozy potrzeb oraz będzie podlegał ocenie podczas prac Komisji Oceny Projektów </w:t>
      </w:r>
      <w:r w:rsidRPr="006C113F">
        <w:rPr>
          <w:b/>
          <w:bCs/>
          <w:color w:val="000000" w:themeColor="text1"/>
          <w:sz w:val="24"/>
          <w:szCs w:val="24"/>
        </w:rPr>
        <w:t>w oparciu o całościową treść projektu</w:t>
      </w:r>
      <w:r w:rsidRPr="006C113F">
        <w:rPr>
          <w:color w:val="000000" w:themeColor="text1"/>
          <w:sz w:val="24"/>
          <w:szCs w:val="24"/>
        </w:rPr>
        <w:t xml:space="preserve"> – opis grupy docelowej, wyniki diagnozy przeprowadzonej przez pracodawcę oraz innych aspektów wynikających z kryteriów wyboru projektów (w tym kwalifikowalności) oraz treści Regulaminu.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 w:rsidRPr="006C113F">
        <w:rPr>
          <w:b/>
          <w:color w:val="000000" w:themeColor="text1"/>
          <w:sz w:val="24"/>
          <w:szCs w:val="24"/>
        </w:rPr>
        <w:t>Ad c)</w:t>
      </w:r>
    </w:p>
    <w:p w:rsidR="00F14A64" w:rsidRDefault="006C113F" w:rsidP="006C113F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Zgodnie z RWP s</w:t>
      </w:r>
      <w:r w:rsidRPr="006C113F">
        <w:rPr>
          <w:rFonts w:cstheme="minorHAnsi"/>
          <w:sz w:val="24"/>
          <w:szCs w:val="24"/>
        </w:rPr>
        <w:t xml:space="preserve">zkolenia realizowane w projekcie muszą być bezpośrednio powiązane i dotyczyć adaptacji środowiska pracy do potrzeb pracodawców i ich pracowników oraz wdrażania elastycznych form zatrudnienia. Nie jest zatem możliwa organizacja dowolnych szkoleń, a tylko takich, które związane będą z procesem adaptacyjności u pracodawcy oraz wdrażania elastycznych form zatrudnienia. Nie jest także możliwe sfinansowanie </w:t>
      </w:r>
      <w:r w:rsidRPr="006C113F">
        <w:rPr>
          <w:sz w:val="24"/>
          <w:szCs w:val="24"/>
        </w:rPr>
        <w:t xml:space="preserve">szkoleń prowadzących do rozwoju umiejętności/kompetencji lub nabycia kwalifikacji. Weryfikacja powyższego możliwa będzie na etapie </w:t>
      </w:r>
      <w:r w:rsidR="00470CE9">
        <w:rPr>
          <w:sz w:val="24"/>
          <w:szCs w:val="24"/>
        </w:rPr>
        <w:t>oceny wniosku, w oparciu o jego treść.</w:t>
      </w:r>
    </w:p>
    <w:p w:rsidR="00F14A64" w:rsidRPr="00F14A64" w:rsidRDefault="00F14A64" w:rsidP="00F14A64">
      <w:pPr>
        <w:pStyle w:val="Akapitzlist"/>
        <w:shd w:val="clear" w:color="auto" w:fill="FFFFFF"/>
        <w:spacing w:line="360" w:lineRule="auto"/>
        <w:ind w:left="867"/>
        <w:rPr>
          <w:rFonts w:cstheme="minorHAnsi"/>
          <w:b/>
          <w:sz w:val="24"/>
          <w:szCs w:val="24"/>
        </w:rPr>
      </w:pPr>
    </w:p>
    <w:p w:rsidR="00F14A64" w:rsidRPr="00F14A64" w:rsidRDefault="00F14A64" w:rsidP="00F14A64">
      <w:pPr>
        <w:pStyle w:val="Akapitzlist"/>
        <w:shd w:val="clear" w:color="auto" w:fill="FFFFFF"/>
        <w:spacing w:line="360" w:lineRule="auto"/>
        <w:ind w:left="867"/>
        <w:rPr>
          <w:rFonts w:cstheme="minorHAnsi"/>
          <w:b/>
          <w:sz w:val="24"/>
          <w:szCs w:val="24"/>
        </w:rPr>
      </w:pPr>
    </w:p>
    <w:p w:rsidR="00F14A64" w:rsidRPr="00F14A64" w:rsidRDefault="00F14A64" w:rsidP="00F14A6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867" w:hanging="357"/>
        <w:rPr>
          <w:rFonts w:cstheme="minorHAnsi"/>
          <w:b/>
          <w:sz w:val="24"/>
          <w:szCs w:val="24"/>
        </w:rPr>
      </w:pPr>
      <w:r w:rsidRPr="00F14A64">
        <w:rPr>
          <w:rFonts w:cstheme="minorHAnsi"/>
          <w:b/>
          <w:color w:val="222222"/>
          <w:sz w:val="24"/>
          <w:szCs w:val="24"/>
        </w:rPr>
        <w:lastRenderedPageBreak/>
        <w:t xml:space="preserve">W </w:t>
      </w:r>
      <w:r w:rsidRPr="00F14A64">
        <w:rPr>
          <w:rFonts w:cstheme="minorHAnsi"/>
          <w:b/>
          <w:color w:val="222222"/>
          <w:sz w:val="24"/>
          <w:szCs w:val="24"/>
        </w:rPr>
        <w:t>związku z przeprowadzaną diagnozą potrzeb związanych z adaptacyjnością pracowników mamy następujące pytanie odnośnie do potencjalnego zakresu wsparcia w ramach działania 5.6 - Adaptacyjność pracowników i pracodawców:</w:t>
      </w:r>
      <w:r w:rsidRPr="00F14A64">
        <w:rPr>
          <w:rFonts w:cstheme="minorHAnsi"/>
          <w:b/>
          <w:color w:val="222222"/>
          <w:sz w:val="24"/>
          <w:szCs w:val="24"/>
        </w:rPr>
        <w:br/>
        <w:t xml:space="preserve">czy w ramach komunikowanej przez pracowników potrzeby dostosowania środowiska pracy do potrzeb różnych grup pracowników w kontekście zasad ogólnych, ujętych w rozdziale 2.3.1, pkt. 7 h) i k) </w:t>
      </w:r>
      <w:r w:rsidRPr="00F14A64">
        <w:rPr>
          <w:rFonts w:cstheme="minorHAnsi"/>
          <w:b/>
          <w:i/>
          <w:iCs/>
          <w:color w:val="222222"/>
          <w:sz w:val="24"/>
          <w:szCs w:val="24"/>
        </w:rPr>
        <w:t>Regulaminu wyboru projektów</w:t>
      </w:r>
      <w:r w:rsidRPr="00F14A64">
        <w:rPr>
          <w:rFonts w:cstheme="minorHAnsi"/>
          <w:b/>
          <w:color w:val="222222"/>
          <w:sz w:val="24"/>
          <w:szCs w:val="24"/>
        </w:rPr>
        <w:t xml:space="preserve"> możliwe jest kwalifikowanie w projekcie krzeseł/foteli ergonomicznych oraz innych niestandardowych elementów wyposażenia (np. podnóżki o podwyższonym standardzie, myszki ergonomiczne) jako wyposażenie stanowisk pracy (np. osób z problemami zdrowotnymi) w siedzibie pracodawcy?</w:t>
      </w:r>
      <w:r w:rsidRPr="00F14A64">
        <w:rPr>
          <w:rFonts w:cstheme="minorHAnsi"/>
          <w:b/>
          <w:color w:val="222222"/>
          <w:sz w:val="24"/>
          <w:szCs w:val="24"/>
        </w:rPr>
        <w:br/>
      </w:r>
    </w:p>
    <w:p w:rsidR="00F14A64" w:rsidRPr="00F14A64" w:rsidRDefault="00F14A64" w:rsidP="00F14A64">
      <w:pPr>
        <w:shd w:val="clear" w:color="auto" w:fill="FFFFFF"/>
        <w:spacing w:line="360" w:lineRule="auto"/>
        <w:rPr>
          <w:rFonts w:cstheme="minorHAnsi"/>
          <w:b/>
          <w:sz w:val="24"/>
          <w:szCs w:val="24"/>
        </w:rPr>
      </w:pPr>
      <w:r w:rsidRPr="00F14A64">
        <w:rPr>
          <w:rFonts w:cstheme="minorHAnsi"/>
          <w:b/>
          <w:sz w:val="24"/>
          <w:szCs w:val="24"/>
        </w:rPr>
        <w:t xml:space="preserve">Odp. z dnia </w:t>
      </w:r>
      <w:r w:rsidRPr="00F14A64">
        <w:rPr>
          <w:rFonts w:cstheme="minorHAnsi"/>
          <w:b/>
          <w:sz w:val="24"/>
          <w:szCs w:val="24"/>
        </w:rPr>
        <w:t>12</w:t>
      </w:r>
      <w:r w:rsidRPr="00F14A64">
        <w:rPr>
          <w:rFonts w:cstheme="minorHAnsi"/>
          <w:b/>
          <w:sz w:val="24"/>
          <w:szCs w:val="24"/>
        </w:rPr>
        <w:t>.06.2025</w:t>
      </w:r>
    </w:p>
    <w:p w:rsidR="00F14A64" w:rsidRPr="00F14A64" w:rsidRDefault="00F14A64" w:rsidP="00F14A64">
      <w:pPr>
        <w:spacing w:line="360" w:lineRule="auto"/>
        <w:rPr>
          <w:rFonts w:cstheme="minorHAnsi"/>
          <w:sz w:val="24"/>
          <w:szCs w:val="24"/>
        </w:rPr>
      </w:pPr>
      <w:r w:rsidRPr="00F14A64">
        <w:rPr>
          <w:rFonts w:cstheme="minorHAnsi"/>
          <w:sz w:val="24"/>
          <w:szCs w:val="24"/>
        </w:rPr>
        <w:t xml:space="preserve">Przygotowując projekt należy mieć na uwadze cel i założenia naboru 5.6.  Przedmiotem naboru jest przede wszystkim </w:t>
      </w:r>
      <w:r w:rsidRPr="00F14A64">
        <w:rPr>
          <w:rFonts w:cstheme="minorHAnsi"/>
          <w:sz w:val="24"/>
          <w:szCs w:val="24"/>
          <w:u w:val="single"/>
        </w:rPr>
        <w:t xml:space="preserve">dostosowanie organizacji pracy do potrzeb pracodawców i pracowników, a także do nowych wyzwań rozwojowych i cywilizacyjnych.  </w:t>
      </w:r>
      <w:r w:rsidRPr="00F14A64">
        <w:rPr>
          <w:rFonts w:cstheme="minorHAnsi"/>
          <w:sz w:val="24"/>
          <w:szCs w:val="24"/>
        </w:rPr>
        <w:t>Wsparcie ma odpowiadać na ogólne potrzeby wszystkich pracowników lub konkretnych grup pracowników zatrudnionych u danego pracodawcy i odpowiadać na zdiagnozowane u pracodawcy wyzwania w obszarze adaptacyjności. Jednocześnie zaplanowane wsparcie nie może dotyczyć eliminowania czynników zdrowotnych w miejscu pracy – ten zakres działań jest możliwy w ramach odrębnej, dedykowanej interwencji EFS+ dotyczącej eliminowania zdrowotnych czynników ryzyka w miejscu pracy.</w:t>
      </w:r>
    </w:p>
    <w:p w:rsidR="00F14A64" w:rsidRPr="00F14A64" w:rsidRDefault="00F14A64" w:rsidP="00F14A64">
      <w:pPr>
        <w:spacing w:line="360" w:lineRule="auto"/>
        <w:rPr>
          <w:rFonts w:cstheme="minorHAnsi"/>
          <w:sz w:val="24"/>
          <w:szCs w:val="24"/>
        </w:rPr>
      </w:pPr>
      <w:r w:rsidRPr="00F14A64">
        <w:rPr>
          <w:rFonts w:cstheme="minorHAnsi"/>
          <w:sz w:val="24"/>
          <w:szCs w:val="24"/>
        </w:rPr>
        <w:t xml:space="preserve">Wskazane w pytaniu wyposażenie jest zatem możliwe do sfinansowanie w ramach projektu, jednak jego zakup musi wynikać z diagnozy potrzeb danego pracodawcy i jego pracowników w zakresie </w:t>
      </w:r>
      <w:r w:rsidRPr="00F14A64">
        <w:rPr>
          <w:rFonts w:cstheme="minorHAnsi"/>
          <w:sz w:val="24"/>
          <w:szCs w:val="24"/>
          <w:u w:val="single"/>
        </w:rPr>
        <w:t>obszaru adaptacyjności</w:t>
      </w:r>
      <w:r w:rsidRPr="00F14A64">
        <w:rPr>
          <w:rFonts w:cstheme="minorHAnsi"/>
          <w:sz w:val="24"/>
          <w:szCs w:val="24"/>
        </w:rPr>
        <w:t>, o którym mowa w Regulaminie wyboru projektów (podrozdział 2.3.1 pkt.1)</w:t>
      </w:r>
    </w:p>
    <w:p w:rsidR="00470CE9" w:rsidRPr="00F14A64" w:rsidRDefault="00F14A64" w:rsidP="006C113F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F14A64">
        <w:rPr>
          <w:rFonts w:cstheme="minorHAnsi"/>
          <w:sz w:val="24"/>
          <w:szCs w:val="24"/>
        </w:rPr>
        <w:t>Zaplanowane działania i związane z nimi wydatki powinny zostać odpowiednio uzasadnione i odpowiadać celom interwencji określonym w Regulaminie wyboru projektu. Weryfikacja czy zaproponowane w projekcie wydatki są celowe i zasadne odbywa się na etapie oceny projektu na podstawie całokształtu informacji zawartych w złożonym wniosku</w:t>
      </w:r>
      <w:r w:rsidRPr="00F14A64">
        <w:rPr>
          <w:rFonts w:cstheme="minorHAnsi"/>
          <w:color w:val="0070C0"/>
          <w:sz w:val="24"/>
          <w:szCs w:val="24"/>
        </w:rPr>
        <w:t>.</w:t>
      </w:r>
      <w:bookmarkStart w:id="5" w:name="_GoBack"/>
      <w:bookmarkEnd w:id="5"/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</w:p>
    <w:sectPr w:rsidR="006C113F" w:rsidRPr="006C113F" w:rsidSect="00312C71">
      <w:footerReference w:type="default" r:id="rId12"/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3F" w:rsidRDefault="006C113F" w:rsidP="006C113F">
      <w:pPr>
        <w:spacing w:after="0" w:line="240" w:lineRule="auto"/>
      </w:pPr>
      <w:r>
        <w:separator/>
      </w:r>
    </w:p>
  </w:endnote>
  <w:endnote w:type="continuationSeparator" w:id="0">
    <w:p w:rsidR="006C113F" w:rsidRDefault="006C113F" w:rsidP="006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807035"/>
      <w:docPartObj>
        <w:docPartGallery w:val="Page Numbers (Bottom of Page)"/>
        <w:docPartUnique/>
      </w:docPartObj>
    </w:sdtPr>
    <w:sdtEndPr/>
    <w:sdtContent>
      <w:p w:rsidR="006C113F" w:rsidRDefault="006C11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113F" w:rsidRDefault="006C1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3F" w:rsidRDefault="006C113F" w:rsidP="006C113F">
      <w:pPr>
        <w:spacing w:after="0" w:line="240" w:lineRule="auto"/>
      </w:pPr>
      <w:r>
        <w:separator/>
      </w:r>
    </w:p>
  </w:footnote>
  <w:footnote w:type="continuationSeparator" w:id="0">
    <w:p w:rsidR="006C113F" w:rsidRDefault="006C113F" w:rsidP="006C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0B68"/>
    <w:multiLevelType w:val="hybridMultilevel"/>
    <w:tmpl w:val="8A267EA2"/>
    <w:lvl w:ilvl="0" w:tplc="05E0CAD6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D86"/>
    <w:multiLevelType w:val="hybridMultilevel"/>
    <w:tmpl w:val="F4EC9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50303"/>
    <w:multiLevelType w:val="hybridMultilevel"/>
    <w:tmpl w:val="16EC9D6E"/>
    <w:lvl w:ilvl="0" w:tplc="8BB2C47A">
      <w:start w:val="1"/>
      <w:numFmt w:val="decimal"/>
      <w:lvlText w:val="%1."/>
      <w:lvlJc w:val="left"/>
      <w:pPr>
        <w:ind w:left="737" w:hanging="2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06074"/>
    <w:multiLevelType w:val="hybridMultilevel"/>
    <w:tmpl w:val="A3C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C34B4"/>
    <w:multiLevelType w:val="hybridMultilevel"/>
    <w:tmpl w:val="514C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51CA4"/>
    <w:multiLevelType w:val="hybridMultilevel"/>
    <w:tmpl w:val="CF3A9558"/>
    <w:lvl w:ilvl="0" w:tplc="E33280DC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AC629A"/>
    <w:multiLevelType w:val="hybridMultilevel"/>
    <w:tmpl w:val="C40A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BCEB9E">
      <w:start w:val="8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64F88"/>
    <w:multiLevelType w:val="hybridMultilevel"/>
    <w:tmpl w:val="9DAAE8C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D7613A"/>
    <w:multiLevelType w:val="hybridMultilevel"/>
    <w:tmpl w:val="95DEE27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E12F8"/>
    <w:multiLevelType w:val="hybridMultilevel"/>
    <w:tmpl w:val="FA3C5428"/>
    <w:lvl w:ilvl="0" w:tplc="0D9A52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1"/>
  </w:num>
  <w:num w:numId="5">
    <w:abstractNumId w:val="24"/>
  </w:num>
  <w:num w:numId="6">
    <w:abstractNumId w:val="2"/>
  </w:num>
  <w:num w:numId="7">
    <w:abstractNumId w:val="22"/>
  </w:num>
  <w:num w:numId="8">
    <w:abstractNumId w:val="35"/>
  </w:num>
  <w:num w:numId="9">
    <w:abstractNumId w:val="18"/>
  </w:num>
  <w:num w:numId="10">
    <w:abstractNumId w:val="10"/>
  </w:num>
  <w:num w:numId="11">
    <w:abstractNumId w:val="32"/>
  </w:num>
  <w:num w:numId="12">
    <w:abstractNumId w:val="23"/>
  </w:num>
  <w:num w:numId="13">
    <w:abstractNumId w:val="20"/>
  </w:num>
  <w:num w:numId="14">
    <w:abstractNumId w:val="5"/>
  </w:num>
  <w:num w:numId="15">
    <w:abstractNumId w:val="29"/>
  </w:num>
  <w:num w:numId="16">
    <w:abstractNumId w:val="28"/>
  </w:num>
  <w:num w:numId="17">
    <w:abstractNumId w:val="34"/>
  </w:num>
  <w:num w:numId="18">
    <w:abstractNumId w:val="21"/>
  </w:num>
  <w:num w:numId="19">
    <w:abstractNumId w:val="37"/>
  </w:num>
  <w:num w:numId="20">
    <w:abstractNumId w:val="1"/>
  </w:num>
  <w:num w:numId="21">
    <w:abstractNumId w:val="13"/>
  </w:num>
  <w:num w:numId="22">
    <w:abstractNumId w:val="16"/>
  </w:num>
  <w:num w:numId="23">
    <w:abstractNumId w:val="17"/>
  </w:num>
  <w:num w:numId="24">
    <w:abstractNumId w:val="36"/>
  </w:num>
  <w:num w:numId="25">
    <w:abstractNumId w:val="14"/>
  </w:num>
  <w:num w:numId="26">
    <w:abstractNumId w:val="40"/>
  </w:num>
  <w:num w:numId="27">
    <w:abstractNumId w:val="9"/>
  </w:num>
  <w:num w:numId="28">
    <w:abstractNumId w:val="15"/>
  </w:num>
  <w:num w:numId="29">
    <w:abstractNumId w:val="0"/>
  </w:num>
  <w:num w:numId="30">
    <w:abstractNumId w:val="19"/>
  </w:num>
  <w:num w:numId="31">
    <w:abstractNumId w:val="7"/>
  </w:num>
  <w:num w:numId="32">
    <w:abstractNumId w:val="27"/>
  </w:num>
  <w:num w:numId="33">
    <w:abstractNumId w:val="12"/>
  </w:num>
  <w:num w:numId="34">
    <w:abstractNumId w:val="25"/>
  </w:num>
  <w:num w:numId="35">
    <w:abstractNumId w:val="1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"/>
  </w:num>
  <w:num w:numId="39">
    <w:abstractNumId w:val="30"/>
  </w:num>
  <w:num w:numId="40">
    <w:abstractNumId w:val="39"/>
  </w:num>
  <w:num w:numId="41">
    <w:abstractNumId w:val="3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57E1EE31-DCD5-4E54-908A-B766E18FD682}"/>
  </w:docVars>
  <w:rsids>
    <w:rsidRoot w:val="00052937"/>
    <w:rsid w:val="000133A3"/>
    <w:rsid w:val="00025462"/>
    <w:rsid w:val="00052937"/>
    <w:rsid w:val="000C36B3"/>
    <w:rsid w:val="0014097E"/>
    <w:rsid w:val="001903B9"/>
    <w:rsid w:val="00264A84"/>
    <w:rsid w:val="002B39B3"/>
    <w:rsid w:val="00312C71"/>
    <w:rsid w:val="003B4889"/>
    <w:rsid w:val="00470CE9"/>
    <w:rsid w:val="004E14DD"/>
    <w:rsid w:val="005913D3"/>
    <w:rsid w:val="00617889"/>
    <w:rsid w:val="00661694"/>
    <w:rsid w:val="006A792A"/>
    <w:rsid w:val="006C113F"/>
    <w:rsid w:val="006E6D3A"/>
    <w:rsid w:val="007459EA"/>
    <w:rsid w:val="00783C2C"/>
    <w:rsid w:val="007A3DC0"/>
    <w:rsid w:val="007A5E08"/>
    <w:rsid w:val="008122A4"/>
    <w:rsid w:val="008728A6"/>
    <w:rsid w:val="008E38A4"/>
    <w:rsid w:val="0090180B"/>
    <w:rsid w:val="00A5067C"/>
    <w:rsid w:val="00AF012F"/>
    <w:rsid w:val="00B337F6"/>
    <w:rsid w:val="00B62776"/>
    <w:rsid w:val="00B8257D"/>
    <w:rsid w:val="00C040BC"/>
    <w:rsid w:val="00C87AEC"/>
    <w:rsid w:val="00C97BD5"/>
    <w:rsid w:val="00CC3ADB"/>
    <w:rsid w:val="00D12332"/>
    <w:rsid w:val="00D449BC"/>
    <w:rsid w:val="00E55758"/>
    <w:rsid w:val="00E559DC"/>
    <w:rsid w:val="00E7062A"/>
    <w:rsid w:val="00E737A1"/>
    <w:rsid w:val="00EC1C7C"/>
    <w:rsid w:val="00ED6AA0"/>
    <w:rsid w:val="00F04B44"/>
    <w:rsid w:val="00F14A64"/>
    <w:rsid w:val="00F3252F"/>
    <w:rsid w:val="00F36859"/>
    <w:rsid w:val="00F53C39"/>
    <w:rsid w:val="00F6494D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DED1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6C113F"/>
  </w:style>
  <w:style w:type="paragraph" w:styleId="Nagwek">
    <w:name w:val="header"/>
    <w:basedOn w:val="Normalny"/>
    <w:link w:val="NagwekZnak"/>
    <w:uiPriority w:val="99"/>
    <w:unhideWhenUsed/>
    <w:rsid w:val="006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3F"/>
  </w:style>
  <w:style w:type="paragraph" w:styleId="Stopka">
    <w:name w:val="footer"/>
    <w:basedOn w:val="Normalny"/>
    <w:link w:val="StopkaZnak"/>
    <w:uiPriority w:val="99"/>
    <w:unhideWhenUsed/>
    <w:rsid w:val="006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3F"/>
  </w:style>
  <w:style w:type="paragraph" w:styleId="NormalnyWeb">
    <w:name w:val="Normal (Web)"/>
    <w:basedOn w:val="Normalny"/>
    <w:uiPriority w:val="99"/>
    <w:unhideWhenUsed/>
    <w:rsid w:val="00F14A6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duszeuepomorskie.pl/nabory/7281-56-adaptacyjnosc-pracownikow-i-pracodawco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wa2021.efs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trudnienie.ef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EE31-DCD5-4E54-908A-B766E18FD6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A3B7F8-4E1F-4094-ACCA-B62BE456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Spanily Marta</cp:lastModifiedBy>
  <cp:revision>2</cp:revision>
  <cp:lastPrinted>2025-05-16T06:53:00Z</cp:lastPrinted>
  <dcterms:created xsi:type="dcterms:W3CDTF">2025-06-12T11:27:00Z</dcterms:created>
  <dcterms:modified xsi:type="dcterms:W3CDTF">2025-06-12T11:27:00Z</dcterms:modified>
</cp:coreProperties>
</file>