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A29D" w14:textId="1D4C9F97" w:rsidR="005A1291" w:rsidRPr="000041DE" w:rsidRDefault="000041DE" w:rsidP="000627AF">
      <w:pPr>
        <w:pStyle w:val="Nagwek1"/>
        <w:spacing w:line="276" w:lineRule="auto"/>
        <w:ind w:left="0" w:firstLine="0"/>
        <w:rPr>
          <w:rFonts w:cs="Arial"/>
          <w:szCs w:val="28"/>
        </w:rPr>
      </w:pPr>
      <w:bookmarkStart w:id="0" w:name="_Hlk66880009"/>
      <w:r w:rsidRPr="000041DE">
        <w:rPr>
          <w:rFonts w:cs="Arial"/>
          <w:szCs w:val="28"/>
        </w:rPr>
        <w:t>Uchwała Nr</w:t>
      </w:r>
      <w:r w:rsidR="003E2C82">
        <w:rPr>
          <w:rFonts w:cs="Arial"/>
          <w:szCs w:val="28"/>
        </w:rPr>
        <w:t xml:space="preserve"> 238</w:t>
      </w:r>
      <w:r w:rsidR="00886A49">
        <w:rPr>
          <w:rFonts w:cs="Arial"/>
          <w:szCs w:val="28"/>
        </w:rPr>
        <w:t>/</w:t>
      </w:r>
      <w:r w:rsidR="003E2C82">
        <w:rPr>
          <w:rFonts w:cs="Arial"/>
          <w:szCs w:val="28"/>
        </w:rPr>
        <w:t>167</w:t>
      </w:r>
      <w:r w:rsidR="00886A49">
        <w:rPr>
          <w:rFonts w:cs="Arial"/>
          <w:szCs w:val="28"/>
        </w:rPr>
        <w:t>/</w:t>
      </w:r>
      <w:r w:rsidR="0002402C">
        <w:rPr>
          <w:rFonts w:cs="Arial"/>
          <w:szCs w:val="28"/>
        </w:rPr>
        <w:t>26</w:t>
      </w:r>
      <w:r w:rsidRPr="000041DE">
        <w:rPr>
          <w:rFonts w:cs="Arial"/>
          <w:szCs w:val="28"/>
        </w:rPr>
        <w:br/>
        <w:t>Zarządu Województwa Pomorskiego</w:t>
      </w:r>
      <w:r w:rsidRPr="000041DE">
        <w:rPr>
          <w:rFonts w:cs="Arial"/>
          <w:szCs w:val="28"/>
        </w:rPr>
        <w:br/>
        <w:t xml:space="preserve">z dnia </w:t>
      </w:r>
      <w:bookmarkEnd w:id="0"/>
      <w:r w:rsidR="003E2C82">
        <w:rPr>
          <w:rFonts w:cs="Arial"/>
          <w:szCs w:val="28"/>
        </w:rPr>
        <w:t>26 lutego</w:t>
      </w:r>
      <w:r w:rsidR="006D28A5">
        <w:rPr>
          <w:rFonts w:cs="Arial"/>
          <w:szCs w:val="28"/>
        </w:rPr>
        <w:t xml:space="preserve"> </w:t>
      </w:r>
      <w:r w:rsidR="0002402C">
        <w:rPr>
          <w:rFonts w:cs="Arial"/>
          <w:szCs w:val="28"/>
        </w:rPr>
        <w:t xml:space="preserve">2026 </w:t>
      </w:r>
      <w:r w:rsidR="006D28A5">
        <w:rPr>
          <w:rFonts w:cs="Arial"/>
          <w:szCs w:val="28"/>
        </w:rPr>
        <w:t>r</w:t>
      </w:r>
      <w:r w:rsidR="003E2C82">
        <w:rPr>
          <w:rFonts w:cs="Arial"/>
          <w:szCs w:val="28"/>
        </w:rPr>
        <w:t>.</w:t>
      </w:r>
    </w:p>
    <w:p w14:paraId="7E6268E0" w14:textId="08EE3CCA" w:rsidR="005A1291" w:rsidRPr="00A7609B" w:rsidRDefault="00B5378A" w:rsidP="000627AF">
      <w:pPr>
        <w:spacing w:after="360" w:line="276" w:lineRule="auto"/>
        <w:rPr>
          <w:rFonts w:cs="Arial"/>
          <w:b/>
        </w:rPr>
      </w:pPr>
      <w:r>
        <w:rPr>
          <w:rFonts w:cs="Arial"/>
          <w:b/>
        </w:rPr>
        <w:t xml:space="preserve">w sprawie przyjęcia zasad kwalifikowalności </w:t>
      </w:r>
      <w:r w:rsidR="00481CEE">
        <w:rPr>
          <w:rFonts w:cs="Arial"/>
          <w:b/>
        </w:rPr>
        <w:t xml:space="preserve">wybranych </w:t>
      </w:r>
      <w:r>
        <w:rPr>
          <w:rFonts w:cs="Arial"/>
          <w:b/>
        </w:rPr>
        <w:t xml:space="preserve">wydatków w </w:t>
      </w:r>
      <w:r w:rsidR="00AB53AF">
        <w:rPr>
          <w:rFonts w:cs="Arial"/>
          <w:b/>
        </w:rPr>
        <w:t xml:space="preserve">regionalnym </w:t>
      </w:r>
      <w:r>
        <w:rPr>
          <w:rFonts w:cs="Arial"/>
          <w:b/>
        </w:rPr>
        <w:t>programie Fundusze Europejskie dla Pomorza 2021-2027</w:t>
      </w:r>
    </w:p>
    <w:p w14:paraId="205E65B8" w14:textId="1C05B5B1" w:rsidR="00F6510C" w:rsidRPr="009269E9" w:rsidRDefault="00F6510C" w:rsidP="009269E9">
      <w:pPr>
        <w:spacing w:line="276" w:lineRule="auto"/>
        <w:rPr>
          <w:sz w:val="22"/>
          <w:szCs w:val="22"/>
        </w:rPr>
      </w:pPr>
      <w:r w:rsidRPr="009269E9">
        <w:rPr>
          <w:sz w:val="22"/>
          <w:szCs w:val="22"/>
        </w:rPr>
        <w:t>Na podstawie</w:t>
      </w:r>
      <w:r w:rsidR="00B5378A" w:rsidRPr="009269E9">
        <w:rPr>
          <w:sz w:val="22"/>
          <w:szCs w:val="22"/>
        </w:rPr>
        <w:t xml:space="preserve"> art. 63 ust. 1 rozporządzenia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</w:t>
      </w:r>
      <w:r w:rsidR="00AB53AF" w:rsidRPr="009269E9">
        <w:rPr>
          <w:sz w:val="22"/>
          <w:szCs w:val="22"/>
        </w:rPr>
        <w:t xml:space="preserve"> </w:t>
      </w:r>
      <w:r w:rsidR="00B5378A" w:rsidRPr="009269E9">
        <w:rPr>
          <w:sz w:val="22"/>
          <w:szCs w:val="22"/>
        </w:rPr>
        <w:t>Integracji, Funduszu Bezpieczeństwa Wewnętrznego i</w:t>
      </w:r>
      <w:r w:rsidR="00AB53AF" w:rsidRPr="009269E9">
        <w:rPr>
          <w:sz w:val="22"/>
          <w:szCs w:val="22"/>
        </w:rPr>
        <w:t xml:space="preserve"> </w:t>
      </w:r>
      <w:r w:rsidR="00B5378A" w:rsidRPr="009269E9">
        <w:rPr>
          <w:sz w:val="22"/>
          <w:szCs w:val="22"/>
        </w:rPr>
        <w:t>Instrumentu Wsparcia Finansowego na rzecz Zarządzania Granicami i</w:t>
      </w:r>
      <w:r w:rsidR="00AB53AF" w:rsidRPr="009269E9">
        <w:rPr>
          <w:sz w:val="22"/>
          <w:szCs w:val="22"/>
        </w:rPr>
        <w:t xml:space="preserve"> </w:t>
      </w:r>
      <w:r w:rsidR="00B5378A" w:rsidRPr="009269E9">
        <w:rPr>
          <w:sz w:val="22"/>
          <w:szCs w:val="22"/>
        </w:rPr>
        <w:t>Polityki Wizowej</w:t>
      </w:r>
      <w:r w:rsidR="00AB53AF" w:rsidRPr="009269E9">
        <w:rPr>
          <w:sz w:val="22"/>
          <w:szCs w:val="22"/>
        </w:rPr>
        <w:t xml:space="preserve"> (Dz. </w:t>
      </w:r>
      <w:r w:rsidR="00A15120" w:rsidRPr="009269E9">
        <w:rPr>
          <w:sz w:val="22"/>
          <w:szCs w:val="22"/>
        </w:rPr>
        <w:t>U</w:t>
      </w:r>
      <w:r w:rsidR="00AB53AF" w:rsidRPr="009269E9">
        <w:rPr>
          <w:sz w:val="22"/>
          <w:szCs w:val="22"/>
        </w:rPr>
        <w:t>rz. UE L 231 z 30.06.2021 r., s. 159)</w:t>
      </w:r>
      <w:r w:rsidR="001C3226" w:rsidRPr="009269E9">
        <w:rPr>
          <w:sz w:val="22"/>
          <w:szCs w:val="22"/>
        </w:rPr>
        <w:t>,</w:t>
      </w:r>
      <w:r w:rsidR="005E15AF" w:rsidRPr="009269E9">
        <w:rPr>
          <w:sz w:val="22"/>
          <w:szCs w:val="22"/>
        </w:rPr>
        <w:t xml:space="preserve"> rozporządzenia Parlamentu Europejskiego i Rady (UE) nr 2025/1914 z dnia 18 września 2025 r. w spr</w:t>
      </w:r>
      <w:r w:rsidR="00615852" w:rsidRPr="009269E9">
        <w:rPr>
          <w:sz w:val="22"/>
          <w:szCs w:val="22"/>
        </w:rPr>
        <w:t>a</w:t>
      </w:r>
      <w:r w:rsidR="005E15AF" w:rsidRPr="009269E9">
        <w:rPr>
          <w:sz w:val="22"/>
          <w:szCs w:val="22"/>
        </w:rPr>
        <w:t>wie zmiany rozporządze</w:t>
      </w:r>
      <w:r w:rsidR="002F7B93" w:rsidRPr="009269E9">
        <w:rPr>
          <w:sz w:val="22"/>
          <w:szCs w:val="22"/>
        </w:rPr>
        <w:t>ń</w:t>
      </w:r>
      <w:r w:rsidR="005E15AF" w:rsidRPr="009269E9">
        <w:rPr>
          <w:sz w:val="22"/>
          <w:szCs w:val="22"/>
        </w:rPr>
        <w:t xml:space="preserve"> (UE) 2021/1058 i (UE) 2021/1056 w odniesieniu do środków szczególnych mających na celu sprostanie strategicznym wyzwaniom w kontekście przeglądu śródokresowego </w:t>
      </w:r>
      <w:r w:rsidR="008D352E" w:rsidRPr="009269E9">
        <w:rPr>
          <w:sz w:val="22"/>
          <w:szCs w:val="22"/>
        </w:rPr>
        <w:t>(Dz. Urz. UE L 2025/1914 z 19.09.2025 r., s. 1</w:t>
      </w:r>
      <w:r w:rsidR="002F7B93" w:rsidRPr="009269E9">
        <w:rPr>
          <w:sz w:val="22"/>
          <w:szCs w:val="22"/>
        </w:rPr>
        <w:t>)</w:t>
      </w:r>
      <w:r w:rsidR="00AA21C5" w:rsidRPr="009269E9">
        <w:rPr>
          <w:sz w:val="22"/>
          <w:szCs w:val="22"/>
        </w:rPr>
        <w:t>,</w:t>
      </w:r>
      <w:r w:rsidR="005E15AF" w:rsidRPr="009269E9">
        <w:rPr>
          <w:sz w:val="22"/>
          <w:szCs w:val="22"/>
        </w:rPr>
        <w:t xml:space="preserve"> </w:t>
      </w:r>
      <w:r w:rsidR="001C3226" w:rsidRPr="009269E9">
        <w:rPr>
          <w:sz w:val="22"/>
          <w:szCs w:val="22"/>
        </w:rPr>
        <w:t xml:space="preserve"> </w:t>
      </w:r>
      <w:r w:rsidR="00873E59" w:rsidRPr="009269E9">
        <w:rPr>
          <w:sz w:val="22"/>
          <w:szCs w:val="22"/>
        </w:rPr>
        <w:t xml:space="preserve">art. </w:t>
      </w:r>
      <w:r w:rsidR="00B5378A" w:rsidRPr="009269E9">
        <w:rPr>
          <w:sz w:val="22"/>
          <w:szCs w:val="22"/>
        </w:rPr>
        <w:t xml:space="preserve">8 ust. 1 pkt 2 </w:t>
      </w:r>
      <w:r w:rsidR="001C3226" w:rsidRPr="009269E9">
        <w:rPr>
          <w:sz w:val="22"/>
          <w:szCs w:val="22"/>
        </w:rPr>
        <w:t xml:space="preserve">oraz ust. 2 pkt 13 </w:t>
      </w:r>
      <w:r w:rsidR="00B5378A" w:rsidRPr="009269E9">
        <w:rPr>
          <w:sz w:val="22"/>
          <w:szCs w:val="22"/>
        </w:rPr>
        <w:t>u</w:t>
      </w:r>
      <w:r w:rsidRPr="009269E9">
        <w:rPr>
          <w:sz w:val="22"/>
          <w:szCs w:val="22"/>
        </w:rPr>
        <w:t xml:space="preserve">stawy z dnia </w:t>
      </w:r>
      <w:r w:rsidR="00B5378A" w:rsidRPr="009269E9">
        <w:rPr>
          <w:sz w:val="22"/>
          <w:szCs w:val="22"/>
        </w:rPr>
        <w:t>28 kwietnia 2022</w:t>
      </w:r>
      <w:r w:rsidRPr="009269E9">
        <w:rPr>
          <w:sz w:val="22"/>
          <w:szCs w:val="22"/>
        </w:rPr>
        <w:t xml:space="preserve"> r. </w:t>
      </w:r>
      <w:r w:rsidR="00626069" w:rsidRPr="009269E9">
        <w:rPr>
          <w:sz w:val="22"/>
          <w:szCs w:val="22"/>
        </w:rPr>
        <w:t>o</w:t>
      </w:r>
      <w:r w:rsidR="00C0187B" w:rsidRPr="009269E9">
        <w:rPr>
          <w:sz w:val="22"/>
          <w:szCs w:val="22"/>
        </w:rPr>
        <w:t xml:space="preserve"> </w:t>
      </w:r>
      <w:r w:rsidRPr="009269E9">
        <w:rPr>
          <w:sz w:val="22"/>
          <w:szCs w:val="22"/>
        </w:rPr>
        <w:t xml:space="preserve">zasadach realizacji </w:t>
      </w:r>
      <w:r w:rsidR="00B5378A" w:rsidRPr="009269E9">
        <w:rPr>
          <w:sz w:val="22"/>
          <w:szCs w:val="22"/>
        </w:rPr>
        <w:t>zadań finansowanych ze środków europejskich w perspektywie finansowej 2021-2027</w:t>
      </w:r>
      <w:r w:rsidRPr="009269E9">
        <w:rPr>
          <w:sz w:val="22"/>
          <w:szCs w:val="22"/>
        </w:rPr>
        <w:t xml:space="preserve"> (</w:t>
      </w:r>
      <w:r w:rsidR="005E15AF" w:rsidRPr="009269E9">
        <w:rPr>
          <w:sz w:val="22"/>
          <w:szCs w:val="22"/>
        </w:rPr>
        <w:t>t</w:t>
      </w:r>
      <w:r w:rsidR="002F7B93" w:rsidRPr="009269E9">
        <w:rPr>
          <w:sz w:val="22"/>
          <w:szCs w:val="22"/>
        </w:rPr>
        <w:t>j.</w:t>
      </w:r>
      <w:r w:rsidR="005E15AF" w:rsidRPr="009269E9">
        <w:rPr>
          <w:sz w:val="22"/>
          <w:szCs w:val="22"/>
        </w:rPr>
        <w:t xml:space="preserve"> Dz.U. </w:t>
      </w:r>
      <w:r w:rsidR="002F7B93" w:rsidRPr="009269E9">
        <w:rPr>
          <w:sz w:val="22"/>
          <w:szCs w:val="22"/>
        </w:rPr>
        <w:t xml:space="preserve">z </w:t>
      </w:r>
      <w:r w:rsidR="005E15AF" w:rsidRPr="009269E9">
        <w:rPr>
          <w:sz w:val="22"/>
          <w:szCs w:val="22"/>
        </w:rPr>
        <w:t xml:space="preserve">2025 </w:t>
      </w:r>
      <w:r w:rsidR="002F7B93" w:rsidRPr="009269E9">
        <w:rPr>
          <w:sz w:val="22"/>
          <w:szCs w:val="22"/>
        </w:rPr>
        <w:t xml:space="preserve">r., </w:t>
      </w:r>
      <w:r w:rsidR="005E15AF" w:rsidRPr="009269E9">
        <w:rPr>
          <w:sz w:val="22"/>
          <w:szCs w:val="22"/>
        </w:rPr>
        <w:t>poz. 1733</w:t>
      </w:r>
      <w:r w:rsidR="002F7B93" w:rsidRPr="009269E9">
        <w:rPr>
          <w:sz w:val="22"/>
          <w:szCs w:val="22"/>
        </w:rPr>
        <w:t xml:space="preserve"> ze zm.</w:t>
      </w:r>
      <w:r w:rsidR="005E15AF" w:rsidRPr="009269E9">
        <w:rPr>
          <w:sz w:val="22"/>
          <w:szCs w:val="22"/>
        </w:rPr>
        <w:t xml:space="preserve">) </w:t>
      </w:r>
      <w:r w:rsidR="00E73391" w:rsidRPr="009269E9">
        <w:rPr>
          <w:sz w:val="22"/>
          <w:szCs w:val="22"/>
        </w:rPr>
        <w:t xml:space="preserve">oraz </w:t>
      </w:r>
      <w:r w:rsidR="00E73391" w:rsidRPr="009269E9">
        <w:rPr>
          <w:rFonts w:cs="Arial"/>
          <w:sz w:val="22"/>
          <w:szCs w:val="22"/>
        </w:rPr>
        <w:t xml:space="preserve">Wytycznych </w:t>
      </w:r>
      <w:r w:rsidR="005E15AF" w:rsidRPr="009269E9">
        <w:rPr>
          <w:rFonts w:cs="Arial"/>
          <w:sz w:val="22"/>
          <w:szCs w:val="22"/>
        </w:rPr>
        <w:t xml:space="preserve">Ministra Funduszy i Polityki Regionalnej </w:t>
      </w:r>
      <w:r w:rsidR="00E73391" w:rsidRPr="009269E9">
        <w:rPr>
          <w:rFonts w:cs="Arial"/>
          <w:sz w:val="22"/>
          <w:szCs w:val="22"/>
        </w:rPr>
        <w:t>dotyczących kwalifikowalności wydatków na lata 2021-2027</w:t>
      </w:r>
      <w:r w:rsidR="00192DFE" w:rsidRPr="009269E9">
        <w:rPr>
          <w:sz w:val="22"/>
          <w:szCs w:val="22"/>
        </w:rPr>
        <w:t>,</w:t>
      </w:r>
      <w:r w:rsidRPr="009269E9">
        <w:rPr>
          <w:sz w:val="22"/>
          <w:szCs w:val="22"/>
        </w:rPr>
        <w:t xml:space="preserve"> uchwala się, co</w:t>
      </w:r>
      <w:r w:rsidR="00AB53AF" w:rsidRPr="009269E9">
        <w:rPr>
          <w:sz w:val="22"/>
          <w:szCs w:val="22"/>
        </w:rPr>
        <w:t xml:space="preserve"> </w:t>
      </w:r>
      <w:r w:rsidRPr="009269E9">
        <w:rPr>
          <w:sz w:val="22"/>
          <w:szCs w:val="22"/>
        </w:rPr>
        <w:t>następuje:</w:t>
      </w:r>
    </w:p>
    <w:p w14:paraId="6070FF8F" w14:textId="77777777" w:rsidR="00393DAF" w:rsidRDefault="00485A42" w:rsidP="009269E9">
      <w:pPr>
        <w:pStyle w:val="Nagwek2"/>
        <w:spacing w:line="276" w:lineRule="auto"/>
        <w:rPr>
          <w:lang w:eastAsia="ar-SA"/>
        </w:rPr>
      </w:pPr>
      <w:r w:rsidRPr="00393DAF">
        <w:rPr>
          <w:lang w:eastAsia="ar-SA"/>
        </w:rPr>
        <w:t>§ </w:t>
      </w:r>
      <w:r w:rsidR="00BE7FCD" w:rsidRPr="00393DAF">
        <w:rPr>
          <w:lang w:eastAsia="ar-SA"/>
        </w:rPr>
        <w:t>1</w:t>
      </w:r>
      <w:r w:rsidRPr="00393DAF">
        <w:rPr>
          <w:lang w:eastAsia="ar-SA"/>
        </w:rPr>
        <w:t>.</w:t>
      </w:r>
    </w:p>
    <w:p w14:paraId="07BDC790" w14:textId="7C6D91B7" w:rsidR="004E3694" w:rsidRPr="0083533B" w:rsidRDefault="004E3694" w:rsidP="009269E9">
      <w:pPr>
        <w:spacing w:after="240" w:line="276" w:lineRule="auto"/>
        <w:jc w:val="both"/>
        <w:rPr>
          <w:rFonts w:eastAsia="Calibri" w:cs="Arial"/>
          <w:szCs w:val="22"/>
        </w:rPr>
      </w:pPr>
      <w:r w:rsidRPr="0083533B">
        <w:rPr>
          <w:rFonts w:eastAsia="Calibri" w:cs="Arial"/>
          <w:szCs w:val="22"/>
        </w:rPr>
        <w:t>W uchwale nr 1215/410/22 Zarządu Województwa Pomorskiego z dnia 8 grudnia 2022 roku</w:t>
      </w:r>
      <w:r w:rsidR="002D2484" w:rsidRPr="0083533B">
        <w:rPr>
          <w:rFonts w:eastAsia="Calibri" w:cs="Arial"/>
          <w:szCs w:val="22"/>
        </w:rPr>
        <w:t xml:space="preserve"> </w:t>
      </w:r>
      <w:r w:rsidRPr="0083533B">
        <w:rPr>
          <w:rFonts w:eastAsia="Calibri" w:cs="Arial"/>
          <w:szCs w:val="22"/>
        </w:rPr>
        <w:t xml:space="preserve">w sprawie przyjęcia zasad kwalifikowalności wybranych wydatków w regionalnym programie Fundusze Europejskie dla Pomorza 2021-2027 </w:t>
      </w:r>
      <w:r w:rsidR="00797125" w:rsidRPr="0083533B">
        <w:rPr>
          <w:rFonts w:eastAsia="Calibri" w:cs="Arial"/>
          <w:szCs w:val="22"/>
        </w:rPr>
        <w:t>§ 1 otrzymuje brzmienie:</w:t>
      </w:r>
    </w:p>
    <w:p w14:paraId="098CD549" w14:textId="559E3235" w:rsidR="00797125" w:rsidRPr="002D2484" w:rsidRDefault="004E3694" w:rsidP="009269E9">
      <w:pPr>
        <w:spacing w:before="240" w:after="120" w:line="276" w:lineRule="auto"/>
        <w:jc w:val="center"/>
        <w:rPr>
          <w:lang w:eastAsia="ar-SA"/>
        </w:rPr>
      </w:pPr>
      <w:r>
        <w:rPr>
          <w:lang w:eastAsia="ar-SA"/>
        </w:rPr>
        <w:br/>
        <w:t>„§ 1</w:t>
      </w:r>
    </w:p>
    <w:p w14:paraId="6A09083C" w14:textId="685F85E6" w:rsidR="005E34EE" w:rsidRPr="00A15120" w:rsidRDefault="00AB53AF" w:rsidP="009269E9">
      <w:pPr>
        <w:pStyle w:val="Akapitzlist"/>
        <w:numPr>
          <w:ilvl w:val="0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</w:rPr>
      </w:pPr>
      <w:r w:rsidRPr="00A15120">
        <w:rPr>
          <w:rFonts w:ascii="Arial" w:hAnsi="Arial" w:cs="Arial"/>
          <w:sz w:val="24"/>
        </w:rPr>
        <w:t xml:space="preserve">Przyjmuje się następujące </w:t>
      </w:r>
      <w:r w:rsidR="005034C3">
        <w:rPr>
          <w:rFonts w:ascii="Arial" w:hAnsi="Arial" w:cs="Arial"/>
          <w:sz w:val="24"/>
        </w:rPr>
        <w:t>zasady</w:t>
      </w:r>
      <w:r w:rsidRPr="00A15120">
        <w:rPr>
          <w:rFonts w:ascii="Arial" w:hAnsi="Arial" w:cs="Arial"/>
          <w:sz w:val="24"/>
        </w:rPr>
        <w:t xml:space="preserve"> kwalifikowalności </w:t>
      </w:r>
      <w:r w:rsidR="00481CEE">
        <w:rPr>
          <w:rFonts w:ascii="Arial" w:hAnsi="Arial" w:cs="Arial"/>
          <w:sz w:val="24"/>
        </w:rPr>
        <w:t>wybranych</w:t>
      </w:r>
      <w:r w:rsidR="00481CEE" w:rsidRPr="00A15120">
        <w:rPr>
          <w:rFonts w:ascii="Arial" w:hAnsi="Arial" w:cs="Arial"/>
          <w:sz w:val="24"/>
        </w:rPr>
        <w:t xml:space="preserve"> </w:t>
      </w:r>
      <w:r w:rsidRPr="00A15120">
        <w:rPr>
          <w:rFonts w:ascii="Arial" w:hAnsi="Arial" w:cs="Arial"/>
          <w:sz w:val="24"/>
        </w:rPr>
        <w:t>wydatków w regionalnym programie</w:t>
      </w:r>
      <w:r w:rsidR="00E83BE7" w:rsidRPr="00A15120">
        <w:rPr>
          <w:rFonts w:ascii="Arial" w:hAnsi="Arial" w:cs="Arial"/>
          <w:sz w:val="24"/>
        </w:rPr>
        <w:t xml:space="preserve"> Fundusze Europejskie dla Pomorza 2021-2027</w:t>
      </w:r>
      <w:r w:rsidR="00834A6C">
        <w:rPr>
          <w:rFonts w:ascii="Arial" w:hAnsi="Arial" w:cs="Arial"/>
          <w:sz w:val="24"/>
        </w:rPr>
        <w:t xml:space="preserve"> – w przypadku, gdy dofinansowanie będzie pochodziło z Europejskiego Funduszu Rozwoju Regionalnego i będzie udzielane w formie dotacji</w:t>
      </w:r>
      <w:r w:rsidR="00E83BE7" w:rsidRPr="00A15120">
        <w:rPr>
          <w:rFonts w:ascii="Arial" w:hAnsi="Arial" w:cs="Arial"/>
          <w:sz w:val="24"/>
        </w:rPr>
        <w:t>:</w:t>
      </w:r>
    </w:p>
    <w:p w14:paraId="375F5106" w14:textId="3B1A0538" w:rsidR="00E83BE7" w:rsidRPr="00FF265B" w:rsidRDefault="00E83BE7" w:rsidP="009269E9">
      <w:pPr>
        <w:pStyle w:val="Akapitzlist"/>
        <w:numPr>
          <w:ilvl w:val="0"/>
          <w:numId w:val="10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A15120">
        <w:rPr>
          <w:rFonts w:ascii="Arial" w:hAnsi="Arial" w:cs="Arial"/>
          <w:sz w:val="24"/>
          <w:szCs w:val="24"/>
        </w:rPr>
        <w:t xml:space="preserve">podatek od towarów i usług (VAT) </w:t>
      </w:r>
      <w:r w:rsidR="00834A6C">
        <w:rPr>
          <w:rFonts w:ascii="Arial" w:hAnsi="Arial" w:cs="Arial"/>
          <w:sz w:val="24"/>
          <w:szCs w:val="24"/>
        </w:rPr>
        <w:t xml:space="preserve">będzie </w:t>
      </w:r>
      <w:r w:rsidR="00A15120" w:rsidRPr="00A15120">
        <w:rPr>
          <w:rFonts w:ascii="Arial" w:hAnsi="Arial" w:cs="Arial"/>
          <w:sz w:val="24"/>
          <w:szCs w:val="24"/>
        </w:rPr>
        <w:t>stanowi</w:t>
      </w:r>
      <w:r w:rsidR="00834A6C">
        <w:rPr>
          <w:rFonts w:ascii="Arial" w:hAnsi="Arial" w:cs="Arial"/>
          <w:sz w:val="24"/>
          <w:szCs w:val="24"/>
        </w:rPr>
        <w:t>ł</w:t>
      </w:r>
      <w:r w:rsidR="00A15120" w:rsidRPr="00A15120">
        <w:rPr>
          <w:rFonts w:ascii="Arial" w:hAnsi="Arial" w:cs="Arial"/>
          <w:sz w:val="24"/>
          <w:szCs w:val="24"/>
        </w:rPr>
        <w:t xml:space="preserve"> </w:t>
      </w:r>
      <w:r w:rsidR="005D59E4">
        <w:rPr>
          <w:rFonts w:ascii="Arial" w:hAnsi="Arial" w:cs="Arial"/>
          <w:sz w:val="24"/>
          <w:szCs w:val="24"/>
        </w:rPr>
        <w:t>wydatek</w:t>
      </w:r>
      <w:r w:rsidRPr="00A15120">
        <w:rPr>
          <w:rFonts w:ascii="Arial" w:hAnsi="Arial" w:cs="Arial"/>
          <w:sz w:val="24"/>
          <w:szCs w:val="24"/>
        </w:rPr>
        <w:t xml:space="preserve"> </w:t>
      </w:r>
      <w:r w:rsidRPr="00FF265B">
        <w:rPr>
          <w:rFonts w:ascii="Arial" w:hAnsi="Arial" w:cs="Arial"/>
          <w:sz w:val="24"/>
          <w:szCs w:val="24"/>
        </w:rPr>
        <w:t>niekwalifikowalny</w:t>
      </w:r>
      <w:r w:rsidR="00A40C65">
        <w:rPr>
          <w:rFonts w:ascii="Arial" w:hAnsi="Arial" w:cs="Arial"/>
          <w:sz w:val="24"/>
          <w:szCs w:val="24"/>
        </w:rPr>
        <w:t>,</w:t>
      </w:r>
    </w:p>
    <w:p w14:paraId="7303CEEB" w14:textId="2D1F70B9" w:rsidR="00E83BE7" w:rsidRDefault="007A36E8" w:rsidP="009269E9">
      <w:pPr>
        <w:pStyle w:val="Akapitzlist"/>
        <w:numPr>
          <w:ilvl w:val="0"/>
          <w:numId w:val="10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niekwalifikowalne </w:t>
      </w:r>
      <w:r w:rsidR="00133C5F">
        <w:rPr>
          <w:rFonts w:ascii="Arial" w:hAnsi="Arial" w:cs="Arial"/>
          <w:sz w:val="24"/>
          <w:szCs w:val="24"/>
        </w:rPr>
        <w:t>będą</w:t>
      </w:r>
      <w:r>
        <w:rPr>
          <w:rFonts w:ascii="Arial" w:hAnsi="Arial" w:cs="Arial"/>
          <w:sz w:val="24"/>
          <w:szCs w:val="24"/>
        </w:rPr>
        <w:t xml:space="preserve"> koszty pośrednie projektu w zakresie:</w:t>
      </w:r>
    </w:p>
    <w:p w14:paraId="60B8F79D" w14:textId="4FBC6517" w:rsidR="007A36E8" w:rsidRPr="007A36E8" w:rsidRDefault="007A36E8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A36E8">
        <w:rPr>
          <w:rFonts w:ascii="Arial" w:hAnsi="Arial" w:cs="Arial"/>
          <w:sz w:val="24"/>
          <w:szCs w:val="24"/>
        </w:rPr>
        <w:t xml:space="preserve">kosztów koordynatora lub kierownika projektu oraz innego personelu bezpośrednio zaangażowanego w zarządzanie, rozliczanie, monitorowanie projektu lub prowadzenie innych działań administracyjnych w projekcie, w szczególności koszty wynagrodzenia tych osób, ich delegacji służbowych i szkoleń, </w:t>
      </w:r>
    </w:p>
    <w:p w14:paraId="33003DBE" w14:textId="4A13DCB3" w:rsidR="007A36E8" w:rsidRPr="007A36E8" w:rsidRDefault="007A36E8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A36E8">
        <w:rPr>
          <w:rFonts w:ascii="Arial" w:hAnsi="Arial" w:cs="Arial"/>
          <w:sz w:val="24"/>
          <w:szCs w:val="24"/>
        </w:rPr>
        <w:lastRenderedPageBreak/>
        <w:t>kosztów zarządu (wynagrodzenia osób uprawnionych do reprezentowania jednostki, których zakresy czynności nie są przypisane wyłącznie do projektu, np. kierownika jednostki),</w:t>
      </w:r>
    </w:p>
    <w:p w14:paraId="2B4D7798" w14:textId="08939406" w:rsidR="007A36E8" w:rsidRPr="007A36E8" w:rsidRDefault="007A36E8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A36E8">
        <w:rPr>
          <w:rFonts w:ascii="Arial" w:hAnsi="Arial" w:cs="Arial"/>
          <w:sz w:val="24"/>
          <w:szCs w:val="24"/>
        </w:rPr>
        <w:t>kosztów personelu obsługowego (obsługa kadrowa, finansowa, administracyjna, sekretariat, kancelaria, obsługa prawna, w tym dotycząca zamówień) na potrzeby funkcjonowania jednostki,</w:t>
      </w:r>
    </w:p>
    <w:p w14:paraId="2EE6D8C2" w14:textId="2BC5FE6B" w:rsidR="005841FF" w:rsidRDefault="007A36E8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A36E8">
        <w:rPr>
          <w:rFonts w:ascii="Arial" w:hAnsi="Arial" w:cs="Arial"/>
          <w:sz w:val="24"/>
          <w:szCs w:val="24"/>
        </w:rPr>
        <w:t>kosztów obsługi księgowej (wynagrodzenia osób księgujących wydatki w projekcie, koszty związane ze zleceniem prowadzenia obsługi księgowej projektu biuru rachunkowemu),</w:t>
      </w:r>
    </w:p>
    <w:p w14:paraId="2E9592C2" w14:textId="59972E05" w:rsidR="005841FF" w:rsidRPr="000A6A50" w:rsidRDefault="005841FF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0A6A50">
        <w:rPr>
          <w:rFonts w:ascii="Arial" w:hAnsi="Arial" w:cs="Arial"/>
          <w:sz w:val="24"/>
          <w:szCs w:val="24"/>
        </w:rPr>
        <w:t>koszt</w:t>
      </w:r>
      <w:r w:rsidR="0077431B">
        <w:rPr>
          <w:rFonts w:ascii="Arial" w:hAnsi="Arial" w:cs="Arial"/>
          <w:sz w:val="24"/>
          <w:szCs w:val="24"/>
        </w:rPr>
        <w:t>ów</w:t>
      </w:r>
      <w:r w:rsidRPr="000A6A50">
        <w:rPr>
          <w:rFonts w:ascii="Arial" w:hAnsi="Arial" w:cs="Arial"/>
          <w:sz w:val="24"/>
          <w:szCs w:val="24"/>
        </w:rPr>
        <w:t xml:space="preserve"> utrzymania powierzchni biurowych (czynsz, najem, opłaty administracyjne),</w:t>
      </w:r>
    </w:p>
    <w:p w14:paraId="3B2BEF6C" w14:textId="3D8F0E02" w:rsidR="005841FF" w:rsidRPr="000A6A50" w:rsidRDefault="005841FF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0A6A50">
        <w:rPr>
          <w:rFonts w:ascii="Arial" w:hAnsi="Arial" w:cs="Arial"/>
          <w:sz w:val="24"/>
          <w:szCs w:val="24"/>
        </w:rPr>
        <w:t>wydatk</w:t>
      </w:r>
      <w:r w:rsidR="0077431B">
        <w:rPr>
          <w:rFonts w:ascii="Arial" w:hAnsi="Arial" w:cs="Arial"/>
          <w:sz w:val="24"/>
          <w:szCs w:val="24"/>
        </w:rPr>
        <w:t>ów</w:t>
      </w:r>
      <w:r w:rsidRPr="000A6A50">
        <w:rPr>
          <w:rFonts w:ascii="Arial" w:hAnsi="Arial" w:cs="Arial"/>
          <w:sz w:val="24"/>
          <w:szCs w:val="24"/>
        </w:rPr>
        <w:t xml:space="preserve"> związan</w:t>
      </w:r>
      <w:r w:rsidR="005B0E93">
        <w:rPr>
          <w:rFonts w:ascii="Arial" w:hAnsi="Arial" w:cs="Arial"/>
          <w:sz w:val="24"/>
          <w:szCs w:val="24"/>
        </w:rPr>
        <w:t>ych</w:t>
      </w:r>
      <w:r w:rsidRPr="000A6A50">
        <w:rPr>
          <w:rFonts w:ascii="Arial" w:hAnsi="Arial" w:cs="Arial"/>
          <w:sz w:val="24"/>
          <w:szCs w:val="24"/>
        </w:rPr>
        <w:t xml:space="preserve"> z otworzeniem lub prowadzeniem wyodrębnionego na rzecz projektu subkonta na rachunku płatniczym lub odrębnego rachunku płatniczego,</w:t>
      </w:r>
    </w:p>
    <w:p w14:paraId="1F8CDEFF" w14:textId="443F7A48" w:rsidR="005841FF" w:rsidRPr="000A6A50" w:rsidRDefault="005841FF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A6A50">
        <w:rPr>
          <w:rFonts w:ascii="Arial" w:hAnsi="Arial" w:cs="Arial"/>
          <w:sz w:val="24"/>
          <w:szCs w:val="24"/>
        </w:rPr>
        <w:t>opłat za energię elektryczną, cieplną, gazową i wodę, opłat przesyłow</w:t>
      </w:r>
      <w:r w:rsidR="005B0E93">
        <w:rPr>
          <w:rFonts w:ascii="Arial" w:hAnsi="Arial" w:cs="Arial"/>
          <w:sz w:val="24"/>
          <w:szCs w:val="24"/>
        </w:rPr>
        <w:t>ych</w:t>
      </w:r>
      <w:r w:rsidRPr="000A6A50">
        <w:rPr>
          <w:rFonts w:ascii="Arial" w:hAnsi="Arial" w:cs="Arial"/>
          <w:sz w:val="24"/>
          <w:szCs w:val="24"/>
        </w:rPr>
        <w:t>, opłat za odprowadzanie ścieków, opłat za wywóz odpadów komunalnych,</w:t>
      </w:r>
    </w:p>
    <w:p w14:paraId="65BE287C" w14:textId="6EEF5D47" w:rsidR="005841FF" w:rsidRPr="000A6A50" w:rsidRDefault="005841FF" w:rsidP="009269E9">
      <w:pPr>
        <w:pStyle w:val="Akapitzlist"/>
        <w:numPr>
          <w:ilvl w:val="1"/>
          <w:numId w:val="10"/>
        </w:numPr>
        <w:shd w:val="clear" w:color="auto" w:fill="FFFFFF"/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A6A50">
        <w:rPr>
          <w:rFonts w:ascii="Arial" w:hAnsi="Arial" w:cs="Arial"/>
          <w:sz w:val="24"/>
          <w:szCs w:val="24"/>
        </w:rPr>
        <w:t>opłat za usługi telekomunikacyjne</w:t>
      </w:r>
      <w:r w:rsidR="000A6A50">
        <w:rPr>
          <w:rFonts w:ascii="Arial" w:hAnsi="Arial" w:cs="Arial"/>
          <w:sz w:val="24"/>
          <w:szCs w:val="24"/>
        </w:rPr>
        <w:t>,</w:t>
      </w:r>
      <w:r w:rsidRPr="000A6A50">
        <w:rPr>
          <w:rFonts w:ascii="Arial" w:hAnsi="Arial" w:cs="Arial"/>
          <w:sz w:val="24"/>
          <w:szCs w:val="24"/>
        </w:rPr>
        <w:t xml:space="preserve"> w tym Internet</w:t>
      </w:r>
      <w:r w:rsidR="000A6A50">
        <w:rPr>
          <w:rFonts w:ascii="Arial" w:hAnsi="Arial" w:cs="Arial"/>
          <w:sz w:val="24"/>
          <w:szCs w:val="24"/>
        </w:rPr>
        <w:t>,</w:t>
      </w:r>
    </w:p>
    <w:p w14:paraId="01F9D6DD" w14:textId="14B832DA" w:rsidR="00FF265B" w:rsidRPr="00FF265B" w:rsidRDefault="00FF265B" w:rsidP="009269E9">
      <w:pPr>
        <w:pStyle w:val="Akapitzlist"/>
        <w:numPr>
          <w:ilvl w:val="0"/>
          <w:numId w:val="10"/>
        </w:numPr>
        <w:spacing w:after="240" w:line="276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r w:rsidRPr="00FF265B">
        <w:rPr>
          <w:rFonts w:ascii="Arial" w:eastAsiaTheme="minorHAnsi" w:hAnsi="Arial" w:cs="Arial"/>
          <w:sz w:val="24"/>
          <w:szCs w:val="24"/>
        </w:rPr>
        <w:t>koszty wybranych usług</w:t>
      </w:r>
      <w:r w:rsidR="008C29FA">
        <w:rPr>
          <w:rFonts w:ascii="Arial" w:eastAsiaTheme="minorHAnsi" w:hAnsi="Arial" w:cs="Arial"/>
          <w:sz w:val="24"/>
          <w:szCs w:val="24"/>
        </w:rPr>
        <w:t xml:space="preserve"> w zakresie zarządzania i obsługi projektów</w:t>
      </w:r>
      <w:r w:rsidRPr="00FF265B">
        <w:rPr>
          <w:rFonts w:ascii="Arial" w:eastAsiaTheme="minorHAnsi" w:hAnsi="Arial" w:cs="Arial"/>
          <w:sz w:val="24"/>
          <w:szCs w:val="24"/>
        </w:rPr>
        <w:t xml:space="preserve"> nie</w:t>
      </w:r>
      <w:r>
        <w:rPr>
          <w:rFonts w:ascii="Arial" w:eastAsiaTheme="minorHAnsi" w:hAnsi="Arial" w:cs="Arial"/>
          <w:sz w:val="24"/>
          <w:szCs w:val="24"/>
        </w:rPr>
        <w:t xml:space="preserve"> będą</w:t>
      </w:r>
      <w:r w:rsidRPr="00FF265B">
        <w:rPr>
          <w:rFonts w:ascii="Arial" w:eastAsiaTheme="minorHAnsi" w:hAnsi="Arial" w:cs="Arial"/>
          <w:sz w:val="24"/>
          <w:szCs w:val="24"/>
        </w:rPr>
        <w:t xml:space="preserve"> mog</w:t>
      </w:r>
      <w:r>
        <w:rPr>
          <w:rFonts w:ascii="Arial" w:eastAsiaTheme="minorHAnsi" w:hAnsi="Arial" w:cs="Arial"/>
          <w:sz w:val="24"/>
          <w:szCs w:val="24"/>
        </w:rPr>
        <w:t>ły</w:t>
      </w:r>
      <w:r w:rsidRPr="00FF265B">
        <w:rPr>
          <w:rFonts w:ascii="Arial" w:eastAsiaTheme="minorHAnsi" w:hAnsi="Arial" w:cs="Arial"/>
          <w:sz w:val="24"/>
          <w:szCs w:val="24"/>
        </w:rPr>
        <w:t xml:space="preserve"> przekroczyć następujących wskaźników procentowych:</w:t>
      </w:r>
    </w:p>
    <w:p w14:paraId="68B47CEA" w14:textId="77777777" w:rsidR="00FF265B" w:rsidRPr="00FF265B" w:rsidRDefault="00FF265B" w:rsidP="009269E9">
      <w:pPr>
        <w:pStyle w:val="Akapitzlist"/>
        <w:numPr>
          <w:ilvl w:val="1"/>
          <w:numId w:val="10"/>
        </w:numPr>
        <w:spacing w:after="240" w:line="276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r w:rsidRPr="00FF265B">
        <w:rPr>
          <w:rFonts w:ascii="Arial" w:eastAsiaTheme="minorHAnsi" w:hAnsi="Arial" w:cs="Arial"/>
          <w:sz w:val="24"/>
          <w:szCs w:val="24"/>
        </w:rPr>
        <w:t>nadzór inwestorski:</w:t>
      </w:r>
    </w:p>
    <w:p w14:paraId="6F290E09" w14:textId="0F7A29B8" w:rsidR="00FF265B" w:rsidRPr="00FF265B" w:rsidRDefault="00FF265B" w:rsidP="009269E9">
      <w:pPr>
        <w:pStyle w:val="Akapitzlist"/>
        <w:numPr>
          <w:ilvl w:val="2"/>
          <w:numId w:val="10"/>
        </w:numPr>
        <w:spacing w:after="240" w:line="276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r w:rsidRPr="00FF265B">
        <w:rPr>
          <w:rFonts w:ascii="Arial" w:eastAsiaTheme="minorHAnsi" w:hAnsi="Arial" w:cs="Arial"/>
          <w:sz w:val="24"/>
          <w:szCs w:val="24"/>
        </w:rPr>
        <w:t>2% kosztów robót budowlanych i montażowych bez kontroli rozliczeń budowy,</w:t>
      </w:r>
    </w:p>
    <w:p w14:paraId="150C7372" w14:textId="5C9F36C8" w:rsidR="00FF265B" w:rsidRPr="00FF265B" w:rsidRDefault="00FF2681" w:rsidP="009269E9">
      <w:pPr>
        <w:pStyle w:val="Akapitzlist"/>
        <w:numPr>
          <w:ilvl w:val="2"/>
          <w:numId w:val="10"/>
        </w:numPr>
        <w:spacing w:after="240" w:line="276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</w:t>
      </w:r>
      <w:r w:rsidR="00FF265B" w:rsidRPr="00FF265B">
        <w:rPr>
          <w:rFonts w:ascii="Arial" w:eastAsiaTheme="minorHAnsi" w:hAnsi="Arial" w:cs="Arial"/>
          <w:sz w:val="24"/>
          <w:szCs w:val="24"/>
        </w:rPr>
        <w:t>% kosztów robót budowlanych i montażowych z kontrolą rozliczenia budowy,</w:t>
      </w:r>
    </w:p>
    <w:p w14:paraId="19B59FC7" w14:textId="77777777" w:rsidR="00FF265B" w:rsidRPr="00FF265B" w:rsidRDefault="00FF265B" w:rsidP="009269E9">
      <w:pPr>
        <w:pStyle w:val="Akapitzlist"/>
        <w:numPr>
          <w:ilvl w:val="1"/>
          <w:numId w:val="10"/>
        </w:numPr>
        <w:spacing w:after="240" w:line="276" w:lineRule="auto"/>
        <w:ind w:left="0" w:firstLine="0"/>
        <w:jc w:val="both"/>
        <w:rPr>
          <w:rFonts w:ascii="Arial" w:eastAsiaTheme="minorHAnsi" w:hAnsi="Arial" w:cs="Arial"/>
          <w:sz w:val="24"/>
          <w:szCs w:val="24"/>
        </w:rPr>
      </w:pPr>
      <w:r w:rsidRPr="00FF265B">
        <w:rPr>
          <w:rFonts w:ascii="Arial" w:eastAsiaTheme="minorHAnsi" w:hAnsi="Arial" w:cs="Arial"/>
          <w:sz w:val="24"/>
          <w:szCs w:val="24"/>
        </w:rPr>
        <w:t>nadzór autorski – 15% kosztów dokumentacji projektowej,</w:t>
      </w:r>
    </w:p>
    <w:p w14:paraId="2EF2491B" w14:textId="385DA34D" w:rsidR="00EC42BD" w:rsidRPr="00FF265B" w:rsidRDefault="00FF265B" w:rsidP="009269E9">
      <w:pPr>
        <w:pStyle w:val="Akapitzlist"/>
        <w:numPr>
          <w:ilvl w:val="1"/>
          <w:numId w:val="10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FF265B">
        <w:rPr>
          <w:rFonts w:ascii="Arial" w:eastAsiaTheme="minorHAnsi" w:hAnsi="Arial" w:cs="Arial"/>
          <w:sz w:val="24"/>
          <w:szCs w:val="24"/>
        </w:rPr>
        <w:t>inżynier kontraktu (wg wymagań FIDIC), inwestor zastępczy – 7% kosztów robót budowlano-montażowych</w:t>
      </w:r>
      <w:r w:rsidR="00A40C65">
        <w:rPr>
          <w:rFonts w:ascii="Arial" w:eastAsiaTheme="minorHAnsi" w:hAnsi="Arial" w:cs="Arial"/>
          <w:sz w:val="24"/>
          <w:szCs w:val="24"/>
        </w:rPr>
        <w:t>,</w:t>
      </w:r>
    </w:p>
    <w:p w14:paraId="6F1E100C" w14:textId="77777777" w:rsidR="0056022D" w:rsidRDefault="0056022D" w:rsidP="009269E9">
      <w:pPr>
        <w:pStyle w:val="Akapitzlist"/>
        <w:numPr>
          <w:ilvl w:val="0"/>
          <w:numId w:val="10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zakresie kosztów informacji i promocji:</w:t>
      </w:r>
    </w:p>
    <w:p w14:paraId="4AD078A3" w14:textId="04EC52AC" w:rsidR="002B6080" w:rsidRDefault="002B6080" w:rsidP="009269E9">
      <w:pPr>
        <w:pStyle w:val="Akapitzlist"/>
        <w:numPr>
          <w:ilvl w:val="1"/>
          <w:numId w:val="10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kwalifikowalne będą w szczególności następujące koszty:</w:t>
      </w:r>
    </w:p>
    <w:p w14:paraId="735FA0E2" w14:textId="64D55AE1" w:rsidR="00F2495F" w:rsidRPr="00F2495F" w:rsidRDefault="00F2495F" w:rsidP="009269E9">
      <w:pPr>
        <w:numPr>
          <w:ilvl w:val="0"/>
          <w:numId w:val="23"/>
        </w:numPr>
        <w:spacing w:after="240" w:line="276" w:lineRule="auto"/>
        <w:ind w:left="0" w:firstLine="0"/>
        <w:rPr>
          <w:rFonts w:cs="Arial"/>
        </w:rPr>
      </w:pPr>
      <w:r w:rsidRPr="00F2495F">
        <w:rPr>
          <w:rFonts w:cs="Arial"/>
        </w:rPr>
        <w:t>przygotowania</w:t>
      </w:r>
      <w:r>
        <w:rPr>
          <w:rFonts w:cs="Arial"/>
        </w:rPr>
        <w:t xml:space="preserve"> lub</w:t>
      </w:r>
      <w:r w:rsidRPr="00F2495F">
        <w:rPr>
          <w:rFonts w:cs="Arial"/>
        </w:rPr>
        <w:t xml:space="preserve"> aktualizacji informacji</w:t>
      </w:r>
      <w:r>
        <w:rPr>
          <w:rFonts w:cs="Arial"/>
        </w:rPr>
        <w:t xml:space="preserve"> lub</w:t>
      </w:r>
      <w:r w:rsidRPr="00F2495F">
        <w:rPr>
          <w:rFonts w:cs="Arial"/>
        </w:rPr>
        <w:t xml:space="preserve"> zakładki na stronie internetowej poświęconej projektowi,</w:t>
      </w:r>
    </w:p>
    <w:p w14:paraId="36ABEA73" w14:textId="33760B2C" w:rsidR="00F2495F" w:rsidRPr="00F2495F" w:rsidRDefault="00F2495F" w:rsidP="009269E9">
      <w:pPr>
        <w:numPr>
          <w:ilvl w:val="0"/>
          <w:numId w:val="23"/>
        </w:numPr>
        <w:spacing w:after="240" w:line="276" w:lineRule="auto"/>
        <w:ind w:left="0" w:firstLine="0"/>
        <w:rPr>
          <w:rFonts w:cs="Arial"/>
        </w:rPr>
      </w:pPr>
      <w:r>
        <w:rPr>
          <w:rFonts w:cs="Arial"/>
        </w:rPr>
        <w:t>wytworzenia lub</w:t>
      </w:r>
      <w:r w:rsidRPr="00F2495F">
        <w:rPr>
          <w:rFonts w:cs="Arial"/>
        </w:rPr>
        <w:t xml:space="preserve"> zakupu tablic informacyjnych,</w:t>
      </w:r>
    </w:p>
    <w:p w14:paraId="7C4E0A6D" w14:textId="770154AF" w:rsidR="00F2495F" w:rsidRPr="00F2495F" w:rsidRDefault="00F2495F" w:rsidP="009269E9">
      <w:pPr>
        <w:numPr>
          <w:ilvl w:val="0"/>
          <w:numId w:val="23"/>
        </w:numPr>
        <w:spacing w:after="240" w:line="276" w:lineRule="auto"/>
        <w:ind w:left="0" w:firstLine="0"/>
        <w:rPr>
          <w:rFonts w:cs="Arial"/>
        </w:rPr>
      </w:pPr>
      <w:r>
        <w:rPr>
          <w:rFonts w:cs="Arial"/>
        </w:rPr>
        <w:t>wytworzenia lub</w:t>
      </w:r>
      <w:r w:rsidRPr="00F2495F">
        <w:rPr>
          <w:rFonts w:cs="Arial"/>
        </w:rPr>
        <w:t xml:space="preserve"> zakupu tablic pamiątkowych,</w:t>
      </w:r>
    </w:p>
    <w:p w14:paraId="58F2F0D5" w14:textId="4E2D70FF" w:rsidR="00F2495F" w:rsidRPr="00F2495F" w:rsidRDefault="00F2495F" w:rsidP="009269E9">
      <w:pPr>
        <w:numPr>
          <w:ilvl w:val="0"/>
          <w:numId w:val="23"/>
        </w:numPr>
        <w:spacing w:after="240" w:line="276" w:lineRule="auto"/>
        <w:ind w:left="0" w:firstLine="0"/>
        <w:rPr>
          <w:rFonts w:cs="Arial"/>
        </w:rPr>
      </w:pPr>
      <w:r>
        <w:rPr>
          <w:rFonts w:cs="Arial"/>
        </w:rPr>
        <w:t>wytworzenia lub zakupu</w:t>
      </w:r>
      <w:r w:rsidRPr="00F2495F">
        <w:rPr>
          <w:rFonts w:cs="Arial"/>
        </w:rPr>
        <w:t xml:space="preserve"> obowiązkowych plakatów informacyjnych w miejscu realizacji projektu,</w:t>
      </w:r>
    </w:p>
    <w:p w14:paraId="7B0DF152" w14:textId="326D916E" w:rsidR="00F2495F" w:rsidRPr="00F2495F" w:rsidRDefault="00F2495F" w:rsidP="009269E9">
      <w:pPr>
        <w:pStyle w:val="Akapitzlist"/>
        <w:numPr>
          <w:ilvl w:val="0"/>
          <w:numId w:val="23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F2495F">
        <w:rPr>
          <w:rFonts w:ascii="Arial" w:hAnsi="Arial" w:cs="Arial"/>
          <w:sz w:val="24"/>
          <w:szCs w:val="24"/>
        </w:rPr>
        <w:lastRenderedPageBreak/>
        <w:t>organizacji wydarzeń informacyjnych lub działań komunikacyjnych w przypadku projektów o charakterze strategicznym, np. z udziałem Komisji Europejskiej i Instytucji Zarządzającej (np. najem sali, zapewnienie nagłośnienia, zakup cateringu, zakup reklamy w mediach dot. wydarzenia itp.)</w:t>
      </w:r>
      <w:r>
        <w:rPr>
          <w:rFonts w:ascii="Arial" w:hAnsi="Arial" w:cs="Arial"/>
          <w:sz w:val="24"/>
          <w:szCs w:val="24"/>
        </w:rPr>
        <w:t>,</w:t>
      </w:r>
    </w:p>
    <w:p w14:paraId="55FA577B" w14:textId="17C40517" w:rsidR="00477697" w:rsidRDefault="0056022D" w:rsidP="009269E9">
      <w:pPr>
        <w:pStyle w:val="Akapitzlist"/>
        <w:numPr>
          <w:ilvl w:val="1"/>
          <w:numId w:val="10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koszty </w:t>
      </w:r>
      <w:r w:rsidR="00A76CBC">
        <w:rPr>
          <w:rFonts w:ascii="Arial" w:hAnsi="Arial" w:cs="Arial"/>
          <w:sz w:val="24"/>
          <w:szCs w:val="24"/>
        </w:rPr>
        <w:t>wytwarzania</w:t>
      </w:r>
      <w:r>
        <w:rPr>
          <w:rFonts w:ascii="Arial" w:hAnsi="Arial" w:cs="Arial"/>
          <w:sz w:val="24"/>
          <w:szCs w:val="24"/>
        </w:rPr>
        <w:t xml:space="preserve"> gadżetów promocyjnych (np. długopisów, notesów, kubków, </w:t>
      </w:r>
      <w:r w:rsidR="00477697">
        <w:rPr>
          <w:rFonts w:ascii="Arial" w:hAnsi="Arial" w:cs="Arial"/>
          <w:sz w:val="24"/>
          <w:szCs w:val="24"/>
        </w:rPr>
        <w:t xml:space="preserve">urządzeń pamięci przenośnej typu </w:t>
      </w:r>
      <w:r w:rsidR="00477697" w:rsidRPr="00477697">
        <w:rPr>
          <w:rFonts w:ascii="Arial" w:hAnsi="Arial" w:cs="Arial"/>
          <w:i/>
          <w:sz w:val="24"/>
          <w:szCs w:val="24"/>
        </w:rPr>
        <w:t>pendrive</w:t>
      </w:r>
      <w:r>
        <w:rPr>
          <w:rFonts w:ascii="Arial" w:hAnsi="Arial" w:cs="Arial"/>
          <w:sz w:val="24"/>
          <w:szCs w:val="24"/>
        </w:rPr>
        <w:t xml:space="preserve">, plecaków) </w:t>
      </w:r>
      <w:r w:rsidR="00477697">
        <w:rPr>
          <w:rFonts w:ascii="Arial" w:hAnsi="Arial" w:cs="Arial"/>
          <w:sz w:val="24"/>
          <w:szCs w:val="24"/>
        </w:rPr>
        <w:t>będą niekwalifikowalne,</w:t>
      </w:r>
    </w:p>
    <w:p w14:paraId="1B3DBFDD" w14:textId="3FB33FAC" w:rsidR="0015778A" w:rsidRDefault="0056022D" w:rsidP="009269E9">
      <w:pPr>
        <w:pStyle w:val="Akapitzlist"/>
        <w:numPr>
          <w:ilvl w:val="1"/>
          <w:numId w:val="10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koszty publikacji papierowych (np. druku albumów pamiątkowych,</w:t>
      </w:r>
      <w:r w:rsidR="00C74201">
        <w:rPr>
          <w:rFonts w:ascii="Arial" w:hAnsi="Arial" w:cs="Arial"/>
          <w:sz w:val="24"/>
          <w:szCs w:val="24"/>
        </w:rPr>
        <w:t xml:space="preserve"> kalendarzy, folderów,</w:t>
      </w:r>
      <w:r>
        <w:rPr>
          <w:rFonts w:ascii="Arial" w:hAnsi="Arial" w:cs="Arial"/>
          <w:sz w:val="24"/>
          <w:szCs w:val="24"/>
        </w:rPr>
        <w:t xml:space="preserve"> ulotek) będą niekwalifikowalne, za wyjątkiem szczególnie uzasadnionych sytuacji, np. kosztów publikacji papierowych skierowanych do osób starszych.</w:t>
      </w:r>
    </w:p>
    <w:p w14:paraId="500E402A" w14:textId="0C4559C0" w:rsidR="00EC42BD" w:rsidRDefault="00682268" w:rsidP="009269E9">
      <w:pPr>
        <w:pStyle w:val="Akapitzlist"/>
        <w:numPr>
          <w:ilvl w:val="0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Zasady</w:t>
      </w:r>
      <w:r w:rsidR="00EC42BD" w:rsidRPr="00EC42BD">
        <w:rPr>
          <w:rFonts w:ascii="Arial" w:hAnsi="Arial" w:cs="Arial"/>
          <w:sz w:val="24"/>
        </w:rPr>
        <w:t xml:space="preserve"> kwalifikowalności wydatków, przyjęte w ust. 1, </w:t>
      </w:r>
      <w:r w:rsidR="001A77FC">
        <w:rPr>
          <w:rFonts w:ascii="Arial" w:hAnsi="Arial" w:cs="Arial"/>
          <w:sz w:val="24"/>
        </w:rPr>
        <w:t xml:space="preserve">będą </w:t>
      </w:r>
      <w:r w:rsidR="00481CEE">
        <w:rPr>
          <w:rFonts w:ascii="Arial" w:hAnsi="Arial" w:cs="Arial"/>
          <w:sz w:val="24"/>
        </w:rPr>
        <w:t>zastosowane</w:t>
      </w:r>
      <w:r w:rsidR="00481CEE" w:rsidRPr="00EC42BD">
        <w:rPr>
          <w:rFonts w:ascii="Arial" w:hAnsi="Arial" w:cs="Arial"/>
          <w:sz w:val="24"/>
        </w:rPr>
        <w:t xml:space="preserve"> </w:t>
      </w:r>
      <w:r w:rsidR="00EC42BD" w:rsidRPr="00EC42BD">
        <w:rPr>
          <w:rFonts w:ascii="Arial" w:hAnsi="Arial" w:cs="Arial"/>
          <w:sz w:val="24"/>
        </w:rPr>
        <w:t>przez Instytucję Zarządzającą regionalnego programu Fundusze Europejskie dla Pomorza 2021-2027</w:t>
      </w:r>
      <w:r w:rsidR="000608D8">
        <w:rPr>
          <w:rFonts w:ascii="Arial" w:hAnsi="Arial" w:cs="Arial"/>
          <w:sz w:val="24"/>
        </w:rPr>
        <w:t xml:space="preserve"> albo instytucję pośredniczącą</w:t>
      </w:r>
      <w:r w:rsidR="00834A6C">
        <w:rPr>
          <w:rFonts w:ascii="Arial" w:hAnsi="Arial" w:cs="Arial"/>
          <w:sz w:val="24"/>
        </w:rPr>
        <w:t xml:space="preserve"> </w:t>
      </w:r>
      <w:r w:rsidR="00481CEE">
        <w:rPr>
          <w:rFonts w:ascii="Arial" w:hAnsi="Arial" w:cs="Arial"/>
          <w:sz w:val="24"/>
        </w:rPr>
        <w:t>w</w:t>
      </w:r>
      <w:r w:rsidR="00EC42BD" w:rsidRPr="00EC42BD">
        <w:rPr>
          <w:rFonts w:ascii="Arial" w:hAnsi="Arial" w:cs="Arial"/>
          <w:sz w:val="24"/>
        </w:rPr>
        <w:t xml:space="preserve"> poszczególnych regulamin</w:t>
      </w:r>
      <w:r w:rsidR="00481CEE">
        <w:rPr>
          <w:rFonts w:ascii="Arial" w:hAnsi="Arial" w:cs="Arial"/>
          <w:sz w:val="24"/>
        </w:rPr>
        <w:t>ach</w:t>
      </w:r>
      <w:r w:rsidR="00EC42BD" w:rsidRPr="00EC42BD">
        <w:rPr>
          <w:rFonts w:ascii="Arial" w:hAnsi="Arial" w:cs="Arial"/>
          <w:sz w:val="24"/>
        </w:rPr>
        <w:t xml:space="preserve"> wyboru projektów, przyjmowanych przez </w:t>
      </w:r>
      <w:r w:rsidR="00481CEE">
        <w:rPr>
          <w:rFonts w:ascii="Arial" w:hAnsi="Arial" w:cs="Arial"/>
          <w:sz w:val="24"/>
        </w:rPr>
        <w:t>tę i</w:t>
      </w:r>
      <w:r w:rsidR="00EC42BD" w:rsidRPr="00EC42BD">
        <w:rPr>
          <w:rFonts w:ascii="Arial" w:hAnsi="Arial" w:cs="Arial"/>
          <w:sz w:val="24"/>
        </w:rPr>
        <w:t>nstytucję.</w:t>
      </w:r>
    </w:p>
    <w:p w14:paraId="02D4E637" w14:textId="6290D628" w:rsidR="00402809" w:rsidRDefault="005034C3" w:rsidP="009269E9">
      <w:pPr>
        <w:pStyle w:val="Akapitzlist"/>
        <w:numPr>
          <w:ilvl w:val="0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Zasady</w:t>
      </w:r>
      <w:r w:rsidR="00402809" w:rsidRPr="00EC42BD">
        <w:rPr>
          <w:rFonts w:ascii="Arial" w:hAnsi="Arial" w:cs="Arial"/>
          <w:sz w:val="24"/>
        </w:rPr>
        <w:t xml:space="preserve"> kwalifikowalności wydatków, przyjęte w ust. 1</w:t>
      </w:r>
      <w:r w:rsidR="00402809">
        <w:rPr>
          <w:rFonts w:ascii="Arial" w:hAnsi="Arial" w:cs="Arial"/>
          <w:sz w:val="24"/>
        </w:rPr>
        <w:t xml:space="preserve">, nie dotyczą pomocy technicznej </w:t>
      </w:r>
      <w:r w:rsidR="00402809" w:rsidRPr="00EC42BD">
        <w:rPr>
          <w:rFonts w:ascii="Arial" w:hAnsi="Arial" w:cs="Arial"/>
          <w:sz w:val="24"/>
        </w:rPr>
        <w:t>regionalnego programu Fundusze Europejskie dla Pomorza 2021-2027</w:t>
      </w:r>
      <w:r w:rsidR="00402809">
        <w:rPr>
          <w:rFonts w:ascii="Arial" w:hAnsi="Arial" w:cs="Arial"/>
          <w:sz w:val="24"/>
        </w:rPr>
        <w:t>.</w:t>
      </w:r>
    </w:p>
    <w:p w14:paraId="3DAA1B55" w14:textId="50B3195F" w:rsidR="00620273" w:rsidRDefault="00A66A88" w:rsidP="009269E9">
      <w:pPr>
        <w:pStyle w:val="Akapitzlist"/>
        <w:numPr>
          <w:ilvl w:val="0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FF2681">
        <w:rPr>
          <w:rFonts w:ascii="Arial" w:hAnsi="Arial" w:cs="Arial"/>
          <w:sz w:val="24"/>
        </w:rPr>
        <w:t xml:space="preserve">W drodze wyjątku od zasad </w:t>
      </w:r>
      <w:r w:rsidR="007C49F0" w:rsidRPr="00FF2681">
        <w:rPr>
          <w:rFonts w:ascii="Arial" w:hAnsi="Arial" w:cs="Arial"/>
          <w:sz w:val="24"/>
        </w:rPr>
        <w:t xml:space="preserve">kwalifikowalności </w:t>
      </w:r>
      <w:r w:rsidRPr="00FF2681">
        <w:rPr>
          <w:rFonts w:ascii="Arial" w:hAnsi="Arial" w:cs="Arial"/>
          <w:sz w:val="24"/>
        </w:rPr>
        <w:t>ustanowionych w ust. 1 pkt 1, podatek od towarów i usług (VAT</w:t>
      </w:r>
      <w:r w:rsidR="00620273">
        <w:rPr>
          <w:rFonts w:ascii="Arial" w:hAnsi="Arial" w:cs="Arial"/>
          <w:sz w:val="24"/>
        </w:rPr>
        <w:t>) będzie</w:t>
      </w:r>
      <w:r w:rsidRPr="00FF2681">
        <w:rPr>
          <w:rFonts w:ascii="Arial" w:hAnsi="Arial" w:cs="Arial"/>
          <w:sz w:val="24"/>
        </w:rPr>
        <w:t xml:space="preserve"> kwalifikowaln</w:t>
      </w:r>
      <w:r w:rsidR="00620273">
        <w:rPr>
          <w:rFonts w:ascii="Arial" w:hAnsi="Arial" w:cs="Arial"/>
          <w:sz w:val="24"/>
        </w:rPr>
        <w:t>y</w:t>
      </w:r>
      <w:r w:rsidRPr="00FF2681">
        <w:rPr>
          <w:rFonts w:ascii="Arial" w:hAnsi="Arial" w:cs="Arial"/>
          <w:sz w:val="24"/>
        </w:rPr>
        <w:t xml:space="preserve"> </w:t>
      </w:r>
      <w:r w:rsidR="00FF2681" w:rsidRPr="00FF2681">
        <w:rPr>
          <w:rFonts w:ascii="Arial" w:hAnsi="Arial" w:cs="Arial"/>
          <w:sz w:val="24"/>
        </w:rPr>
        <w:t xml:space="preserve">na zasadach </w:t>
      </w:r>
      <w:r w:rsidR="00FF2681" w:rsidRPr="00176876">
        <w:rPr>
          <w:rFonts w:ascii="Arial" w:hAnsi="Arial" w:cs="Arial"/>
          <w:sz w:val="24"/>
          <w:szCs w:val="24"/>
        </w:rPr>
        <w:t>ogólnych</w:t>
      </w:r>
      <w:r w:rsidR="003876BB" w:rsidRPr="000608D8">
        <w:rPr>
          <w:rFonts w:cs="Arial"/>
          <w:szCs w:val="24"/>
        </w:rPr>
        <w:t>,</w:t>
      </w:r>
      <w:r w:rsidR="003876BB">
        <w:rPr>
          <w:rFonts w:ascii="Arial" w:hAnsi="Arial" w:cs="Arial"/>
          <w:sz w:val="24"/>
        </w:rPr>
        <w:t xml:space="preserve"> wynikających z przepisów powszechnie obowiązującego prawa oraz wytycznych</w:t>
      </w:r>
      <w:r w:rsidR="003876BB">
        <w:rPr>
          <w:rFonts w:cs="Arial"/>
        </w:rPr>
        <w:t xml:space="preserve"> </w:t>
      </w:r>
      <w:r w:rsidR="003876BB" w:rsidRPr="00176876">
        <w:rPr>
          <w:rFonts w:ascii="Arial" w:hAnsi="Arial" w:cs="Arial"/>
          <w:sz w:val="24"/>
          <w:szCs w:val="24"/>
        </w:rPr>
        <w:t>ministra właściwego do spraw rozwoju regionalnego</w:t>
      </w:r>
      <w:r w:rsidR="00620273">
        <w:rPr>
          <w:rFonts w:ascii="Arial" w:hAnsi="Arial" w:cs="Arial"/>
          <w:sz w:val="24"/>
          <w:szCs w:val="24"/>
        </w:rPr>
        <w:t xml:space="preserve"> w następujących </w:t>
      </w:r>
      <w:r w:rsidR="003E5976">
        <w:rPr>
          <w:rFonts w:ascii="Arial" w:hAnsi="Arial" w:cs="Arial"/>
          <w:sz w:val="24"/>
          <w:szCs w:val="24"/>
        </w:rPr>
        <w:t>sytuacjach</w:t>
      </w:r>
      <w:r w:rsidR="00620273">
        <w:rPr>
          <w:rFonts w:ascii="Arial" w:hAnsi="Arial" w:cs="Arial"/>
          <w:sz w:val="24"/>
          <w:szCs w:val="24"/>
        </w:rPr>
        <w:t>:</w:t>
      </w:r>
    </w:p>
    <w:p w14:paraId="537E386F" w14:textId="77777777" w:rsidR="000C0386" w:rsidRDefault="000C0386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celu szczegółowego 1 (ii) </w:t>
      </w:r>
      <w:r w:rsidRPr="008646F9">
        <w:rPr>
          <w:rFonts w:ascii="Arial" w:hAnsi="Arial" w:cs="Arial"/>
          <w:sz w:val="24"/>
          <w:szCs w:val="24"/>
        </w:rPr>
        <w:t>Czerpanie korzyści z cyfryzacji dla obywateli, przedsiębiorstw, organizacji badawczych i instytucji publicznych</w:t>
      </w:r>
      <w:r>
        <w:rPr>
          <w:rFonts w:ascii="Arial" w:hAnsi="Arial" w:cs="Arial"/>
          <w:sz w:val="24"/>
          <w:szCs w:val="24"/>
        </w:rPr>
        <w:t>,</w:t>
      </w:r>
    </w:p>
    <w:p w14:paraId="45943960" w14:textId="288C5FEC" w:rsidR="00091946" w:rsidRPr="00086166" w:rsidRDefault="00091946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86166">
        <w:rPr>
          <w:rFonts w:ascii="Arial" w:hAnsi="Arial" w:cs="Arial"/>
          <w:sz w:val="24"/>
          <w:szCs w:val="24"/>
        </w:rPr>
        <w:t>w ramach celu szczegółowego 2 (vii) Wzmacnianie ochrony i zachowania przyrody, różnorodności biologicznej oraz zielonej infrastruktury, w tym na obszarach miejskich, oraz ograniczanie wszelkich rodzajów zanieczyszczenia</w:t>
      </w:r>
      <w:r w:rsidR="00FF7763">
        <w:rPr>
          <w:rFonts w:ascii="Arial" w:hAnsi="Arial" w:cs="Arial"/>
          <w:sz w:val="24"/>
          <w:szCs w:val="24"/>
        </w:rPr>
        <w:t>,</w:t>
      </w:r>
      <w:r w:rsidRPr="00086166">
        <w:rPr>
          <w:rFonts w:ascii="Arial" w:hAnsi="Arial" w:cs="Arial"/>
          <w:sz w:val="24"/>
          <w:szCs w:val="24"/>
        </w:rPr>
        <w:t xml:space="preserve"> </w:t>
      </w:r>
    </w:p>
    <w:p w14:paraId="58856895" w14:textId="0D24AC2C" w:rsidR="00FF12D1" w:rsidRDefault="00FF12D1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celu szczegółowego 3 (ii) </w:t>
      </w:r>
      <w:r w:rsidRPr="00FF12D1">
        <w:rPr>
          <w:rFonts w:ascii="Arial" w:hAnsi="Arial" w:cs="Arial"/>
          <w:sz w:val="24"/>
          <w:szCs w:val="24"/>
        </w:rPr>
        <w:t>Rozwój i udoskonalanie zrównoważonej, odpornej na zmiany klimatu, inteligentnej i intermodalnej mobilności na poziomie krajowym, regionalnym i lokalnym, w tym poprawę dostępu do TEN-T oraz mobilności transgranicznej</w:t>
      </w:r>
      <w:r>
        <w:rPr>
          <w:rFonts w:ascii="Arial" w:hAnsi="Arial" w:cs="Arial"/>
          <w:sz w:val="24"/>
          <w:szCs w:val="24"/>
        </w:rPr>
        <w:t xml:space="preserve"> – w zakresie </w:t>
      </w:r>
      <w:r w:rsidR="0042356A">
        <w:rPr>
          <w:rFonts w:ascii="Arial" w:hAnsi="Arial" w:cs="Arial"/>
          <w:sz w:val="24"/>
          <w:szCs w:val="24"/>
        </w:rPr>
        <w:t xml:space="preserve">rozwoju </w:t>
      </w:r>
      <w:r>
        <w:rPr>
          <w:rFonts w:ascii="Arial" w:hAnsi="Arial" w:cs="Arial"/>
          <w:sz w:val="24"/>
          <w:szCs w:val="24"/>
        </w:rPr>
        <w:t>infrastruktury drogowej,</w:t>
      </w:r>
    </w:p>
    <w:p w14:paraId="3699D39F" w14:textId="1093EEEB" w:rsidR="0083533B" w:rsidRPr="009D10CD" w:rsidRDefault="00517170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D10CD">
        <w:rPr>
          <w:rFonts w:ascii="Arial" w:hAnsi="Arial" w:cs="Arial"/>
          <w:sz w:val="24"/>
          <w:szCs w:val="24"/>
        </w:rPr>
        <w:t xml:space="preserve">w ramach celu szczegółowego </w:t>
      </w:r>
      <w:r w:rsidR="004662DD" w:rsidRPr="009D10CD">
        <w:rPr>
          <w:rFonts w:ascii="Arial" w:hAnsi="Arial" w:cs="Arial"/>
          <w:sz w:val="24"/>
          <w:szCs w:val="24"/>
        </w:rPr>
        <w:t xml:space="preserve">3 (iii) </w:t>
      </w:r>
      <w:r w:rsidRPr="009D10CD">
        <w:rPr>
          <w:rFonts w:ascii="Arial" w:hAnsi="Arial" w:cs="Arial"/>
          <w:sz w:val="24"/>
          <w:szCs w:val="24"/>
        </w:rPr>
        <w:t xml:space="preserve">Rozwój odpornej infrastruktury obronnej, przy priorytetowym traktowaniu infrastruktury podwójnego zastosowania, w tym w celu wpierania mobilności wojskowej w Unii, oraz zwiększanie gotowości cywilnej, </w:t>
      </w:r>
      <w:r w:rsidR="00F55C6B" w:rsidRPr="009D10CD">
        <w:rPr>
          <w:rFonts w:ascii="Arial" w:hAnsi="Arial" w:cs="Arial"/>
          <w:sz w:val="24"/>
          <w:szCs w:val="24"/>
        </w:rPr>
        <w:br/>
      </w:r>
      <w:r w:rsidRPr="009D10CD">
        <w:rPr>
          <w:rFonts w:ascii="Arial" w:hAnsi="Arial" w:cs="Arial"/>
          <w:sz w:val="24"/>
          <w:szCs w:val="24"/>
        </w:rPr>
        <w:t>w zakresie</w:t>
      </w:r>
      <w:r w:rsidR="0083533B" w:rsidRPr="009D10CD">
        <w:rPr>
          <w:rFonts w:ascii="Arial" w:hAnsi="Arial" w:cs="Arial"/>
          <w:sz w:val="24"/>
          <w:szCs w:val="24"/>
        </w:rPr>
        <w:t>:</w:t>
      </w:r>
    </w:p>
    <w:p w14:paraId="403CF4DC" w14:textId="27FEFB3C" w:rsidR="00F55C6B" w:rsidRDefault="00517170" w:rsidP="009269E9">
      <w:pPr>
        <w:pStyle w:val="Akapitzlist"/>
        <w:numPr>
          <w:ilvl w:val="0"/>
          <w:numId w:val="26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F55C6B">
        <w:rPr>
          <w:rFonts w:ascii="Arial" w:hAnsi="Arial" w:cs="Arial"/>
          <w:sz w:val="24"/>
          <w:szCs w:val="24"/>
        </w:rPr>
        <w:t>projektów wzmacniający</w:t>
      </w:r>
      <w:r w:rsidR="007B72DF">
        <w:rPr>
          <w:rFonts w:ascii="Arial" w:hAnsi="Arial" w:cs="Arial"/>
          <w:sz w:val="24"/>
          <w:szCs w:val="24"/>
        </w:rPr>
        <w:t>ch</w:t>
      </w:r>
      <w:r w:rsidRPr="00F55C6B">
        <w:rPr>
          <w:rFonts w:ascii="Arial" w:hAnsi="Arial" w:cs="Arial"/>
          <w:sz w:val="24"/>
          <w:szCs w:val="24"/>
        </w:rPr>
        <w:t xml:space="preserve"> bezpieczeństwo </w:t>
      </w:r>
      <w:r w:rsidR="00F55C6B">
        <w:rPr>
          <w:rFonts w:ascii="Arial" w:hAnsi="Arial" w:cs="Arial"/>
          <w:sz w:val="24"/>
          <w:szCs w:val="24"/>
        </w:rPr>
        <w:t>systemów</w:t>
      </w:r>
      <w:r w:rsidR="00C63DCF">
        <w:rPr>
          <w:rFonts w:ascii="Arial" w:hAnsi="Arial" w:cs="Arial"/>
          <w:sz w:val="24"/>
          <w:szCs w:val="24"/>
        </w:rPr>
        <w:t xml:space="preserve"> </w:t>
      </w:r>
      <w:r w:rsidRPr="00F55C6B">
        <w:rPr>
          <w:rFonts w:ascii="Arial" w:hAnsi="Arial" w:cs="Arial"/>
          <w:sz w:val="24"/>
          <w:szCs w:val="24"/>
        </w:rPr>
        <w:t>informacyjnych/informatycznych,</w:t>
      </w:r>
      <w:r w:rsidR="005047D2" w:rsidRPr="00F55C6B">
        <w:rPr>
          <w:rFonts w:ascii="Arial" w:hAnsi="Arial" w:cs="Arial"/>
          <w:sz w:val="24"/>
          <w:szCs w:val="24"/>
        </w:rPr>
        <w:t xml:space="preserve"> </w:t>
      </w:r>
    </w:p>
    <w:p w14:paraId="6437108C" w14:textId="77777777" w:rsidR="00F55C6B" w:rsidRPr="00F55C6B" w:rsidRDefault="0083533B" w:rsidP="009269E9">
      <w:pPr>
        <w:pStyle w:val="Akapitzlist"/>
        <w:numPr>
          <w:ilvl w:val="0"/>
          <w:numId w:val="26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F55C6B">
        <w:rPr>
          <w:rFonts w:ascii="Arial" w:hAnsi="Arial" w:cs="Arial"/>
          <w:sz w:val="24"/>
          <w:szCs w:val="24"/>
        </w:rPr>
        <w:t>rozwoju infrastruktury drogowej</w:t>
      </w:r>
      <w:r w:rsidR="00482351" w:rsidRPr="00F55C6B">
        <w:rPr>
          <w:rFonts w:ascii="Arial" w:hAnsi="Arial" w:cs="Arial"/>
          <w:sz w:val="24"/>
          <w:szCs w:val="24"/>
        </w:rPr>
        <w:t xml:space="preserve">, </w:t>
      </w:r>
    </w:p>
    <w:p w14:paraId="620E8CB0" w14:textId="26059013" w:rsidR="00F55C6B" w:rsidRPr="00F55C6B" w:rsidRDefault="0083533B" w:rsidP="009269E9">
      <w:pPr>
        <w:pStyle w:val="Akapitzlist"/>
        <w:numPr>
          <w:ilvl w:val="0"/>
          <w:numId w:val="26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F55C6B">
        <w:rPr>
          <w:rFonts w:ascii="Arial" w:hAnsi="Arial" w:cs="Arial"/>
          <w:sz w:val="24"/>
          <w:szCs w:val="24"/>
        </w:rPr>
        <w:lastRenderedPageBreak/>
        <w:t>i</w:t>
      </w:r>
      <w:r w:rsidR="00C761DC" w:rsidRPr="00F55C6B">
        <w:rPr>
          <w:rFonts w:ascii="Arial" w:hAnsi="Arial" w:cs="Arial"/>
          <w:sz w:val="24"/>
          <w:szCs w:val="24"/>
        </w:rPr>
        <w:t>nfrastruktury wrażliwej, służące</w:t>
      </w:r>
      <w:r w:rsidR="007B72DF">
        <w:rPr>
          <w:rFonts w:ascii="Arial" w:hAnsi="Arial" w:cs="Arial"/>
          <w:sz w:val="24"/>
          <w:szCs w:val="24"/>
        </w:rPr>
        <w:t>j</w:t>
      </w:r>
      <w:r w:rsidR="00C761DC" w:rsidRPr="00F55C6B">
        <w:rPr>
          <w:rFonts w:ascii="Arial" w:hAnsi="Arial" w:cs="Arial"/>
          <w:sz w:val="24"/>
          <w:szCs w:val="24"/>
        </w:rPr>
        <w:t xml:space="preserve"> zapewnieniu ciągłości funkcjonowania szpitali w sytuacjach kryzysowych</w:t>
      </w:r>
      <w:r w:rsidRPr="00F55C6B">
        <w:rPr>
          <w:rFonts w:ascii="Arial" w:hAnsi="Arial" w:cs="Arial"/>
          <w:sz w:val="24"/>
          <w:szCs w:val="24"/>
        </w:rPr>
        <w:t>,</w:t>
      </w:r>
    </w:p>
    <w:p w14:paraId="25B30515" w14:textId="7FBF2D8A" w:rsidR="007B72DF" w:rsidRDefault="007B72DF" w:rsidP="009269E9">
      <w:pPr>
        <w:pStyle w:val="Akapitzlist"/>
        <w:numPr>
          <w:ilvl w:val="0"/>
          <w:numId w:val="26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7B72DF">
        <w:rPr>
          <w:rFonts w:ascii="Arial" w:hAnsi="Arial" w:cs="Arial"/>
          <w:sz w:val="24"/>
          <w:szCs w:val="24"/>
        </w:rPr>
        <w:t>miejsc schronienia (schronów) w instytucjach publicznych,</w:t>
      </w:r>
    </w:p>
    <w:p w14:paraId="52EDCC68" w14:textId="5CF5E7D3" w:rsidR="004662DD" w:rsidRPr="008D251B" w:rsidRDefault="0083533B" w:rsidP="009269E9">
      <w:pPr>
        <w:pStyle w:val="Akapitzlist"/>
        <w:numPr>
          <w:ilvl w:val="0"/>
          <w:numId w:val="26"/>
        </w:numPr>
        <w:spacing w:after="240" w:line="276" w:lineRule="auto"/>
        <w:ind w:left="0" w:firstLine="0"/>
        <w:rPr>
          <w:rFonts w:cs="Arial"/>
        </w:rPr>
      </w:pPr>
      <w:r w:rsidRPr="008D251B">
        <w:rPr>
          <w:rFonts w:ascii="Arial" w:hAnsi="Arial" w:cs="Arial"/>
          <w:sz w:val="24"/>
          <w:szCs w:val="24"/>
        </w:rPr>
        <w:t xml:space="preserve">specjalistyczne wyposażenie służb ratunkowych na potrzeby reagowania </w:t>
      </w:r>
      <w:r w:rsidR="00F55C6B" w:rsidRPr="008D251B">
        <w:rPr>
          <w:rFonts w:ascii="Arial" w:hAnsi="Arial" w:cs="Arial"/>
          <w:sz w:val="24"/>
          <w:szCs w:val="24"/>
        </w:rPr>
        <w:br/>
      </w:r>
      <w:r w:rsidRPr="008D251B">
        <w:rPr>
          <w:rFonts w:ascii="Arial" w:hAnsi="Arial" w:cs="Arial"/>
          <w:sz w:val="24"/>
          <w:szCs w:val="24"/>
        </w:rPr>
        <w:t>w sytuacjach kryzysowych.</w:t>
      </w:r>
    </w:p>
    <w:p w14:paraId="3F4D3382" w14:textId="4B29FE6C" w:rsidR="00FF12D1" w:rsidRPr="00FF12D1" w:rsidRDefault="00FF12D1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celu szczegółowego 4 (ii) </w:t>
      </w:r>
      <w:r w:rsidRPr="00FF12D1">
        <w:rPr>
          <w:rFonts w:ascii="Arial" w:hAnsi="Arial" w:cs="Arial"/>
          <w:sz w:val="24"/>
          <w:szCs w:val="24"/>
        </w:rPr>
        <w:t>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  <w:r>
        <w:rPr>
          <w:rFonts w:ascii="Arial" w:hAnsi="Arial" w:cs="Arial"/>
          <w:sz w:val="24"/>
          <w:szCs w:val="24"/>
        </w:rPr>
        <w:t xml:space="preserve"> – w zakresie </w:t>
      </w:r>
      <w:r w:rsidR="00253006">
        <w:rPr>
          <w:rFonts w:ascii="Arial" w:hAnsi="Arial" w:cs="Arial"/>
          <w:sz w:val="24"/>
          <w:szCs w:val="24"/>
        </w:rPr>
        <w:t xml:space="preserve">upowszechniania edukacji przedszkolnej </w:t>
      </w:r>
      <w:r w:rsidR="00576F84">
        <w:rPr>
          <w:rFonts w:ascii="Arial" w:hAnsi="Arial" w:cs="Arial"/>
          <w:sz w:val="24"/>
          <w:szCs w:val="24"/>
        </w:rPr>
        <w:t>oraz</w:t>
      </w:r>
      <w:r w:rsidR="00253006">
        <w:rPr>
          <w:rFonts w:ascii="Arial" w:hAnsi="Arial" w:cs="Arial"/>
          <w:sz w:val="24"/>
          <w:szCs w:val="24"/>
        </w:rPr>
        <w:t xml:space="preserve"> rozwoju edukacji </w:t>
      </w:r>
      <w:r w:rsidR="00253006" w:rsidRPr="00253006">
        <w:rPr>
          <w:rFonts w:ascii="Arial" w:hAnsi="Arial" w:cs="Arial"/>
          <w:sz w:val="24"/>
          <w:szCs w:val="24"/>
        </w:rPr>
        <w:t>włączającej</w:t>
      </w:r>
      <w:r w:rsidR="00091946" w:rsidRPr="00253006">
        <w:rPr>
          <w:rFonts w:ascii="Arial" w:hAnsi="Arial" w:cs="Arial"/>
          <w:sz w:val="24"/>
          <w:szCs w:val="24"/>
        </w:rPr>
        <w:t>,</w:t>
      </w:r>
    </w:p>
    <w:p w14:paraId="1A11657D" w14:textId="00CB0A11" w:rsidR="00620273" w:rsidRPr="009D10CD" w:rsidRDefault="00137534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D10CD">
        <w:rPr>
          <w:rFonts w:ascii="Arial" w:hAnsi="Arial" w:cs="Arial"/>
          <w:sz w:val="24"/>
          <w:szCs w:val="24"/>
        </w:rPr>
        <w:t xml:space="preserve">w ramach </w:t>
      </w:r>
      <w:r w:rsidR="00FF2681" w:rsidRPr="009D10CD">
        <w:rPr>
          <w:rFonts w:ascii="Arial" w:hAnsi="Arial" w:cs="Arial"/>
          <w:sz w:val="24"/>
          <w:szCs w:val="24"/>
        </w:rPr>
        <w:t xml:space="preserve">celu szczegółowego </w:t>
      </w:r>
      <w:r w:rsidRPr="003876BB">
        <w:rPr>
          <w:rFonts w:ascii="Arial" w:hAnsi="Arial" w:cs="Arial"/>
          <w:sz w:val="24"/>
          <w:szCs w:val="24"/>
        </w:rPr>
        <w:t>4 (ii</w:t>
      </w:r>
      <w:r w:rsidR="00A66A88" w:rsidRPr="003876BB">
        <w:rPr>
          <w:rFonts w:ascii="Arial" w:hAnsi="Arial" w:cs="Arial"/>
          <w:sz w:val="24"/>
          <w:szCs w:val="24"/>
        </w:rPr>
        <w:t>i</w:t>
      </w:r>
      <w:r w:rsidRPr="003876BB">
        <w:rPr>
          <w:rFonts w:ascii="Arial" w:hAnsi="Arial" w:cs="Arial"/>
          <w:sz w:val="24"/>
          <w:szCs w:val="24"/>
        </w:rPr>
        <w:t>)</w:t>
      </w:r>
      <w:r w:rsidRPr="00FF2681">
        <w:rPr>
          <w:rFonts w:ascii="Arial" w:hAnsi="Arial" w:cs="Arial"/>
          <w:sz w:val="24"/>
          <w:szCs w:val="24"/>
        </w:rPr>
        <w:t xml:space="preserve"> </w:t>
      </w:r>
      <w:r w:rsidR="00A66A88" w:rsidRPr="00FF2681">
        <w:rPr>
          <w:rFonts w:ascii="Arial" w:hAnsi="Arial" w:cs="Arial"/>
          <w:sz w:val="24"/>
          <w:szCs w:val="24"/>
        </w:rPr>
        <w:t>W</w:t>
      </w:r>
      <w:r w:rsidR="00A66A88" w:rsidRPr="009D10CD">
        <w:rPr>
          <w:rFonts w:ascii="Arial" w:hAnsi="Arial" w:cs="Arial"/>
          <w:sz w:val="24"/>
          <w:szCs w:val="24"/>
        </w:rPr>
        <w:t>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  <w:r w:rsidR="00FF12D1" w:rsidRPr="009D10CD">
        <w:rPr>
          <w:rFonts w:ascii="Arial" w:hAnsi="Arial" w:cs="Arial"/>
          <w:sz w:val="24"/>
          <w:szCs w:val="24"/>
        </w:rPr>
        <w:t>,</w:t>
      </w:r>
    </w:p>
    <w:p w14:paraId="084DCFBF" w14:textId="3AB71B8A" w:rsidR="001E1071" w:rsidRPr="00C76E70" w:rsidRDefault="001E1071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Style w:val="text-justify"/>
          <w:rFonts w:ascii="Arial" w:hAnsi="Arial" w:cs="Arial"/>
          <w:sz w:val="24"/>
          <w:szCs w:val="24"/>
        </w:rPr>
      </w:pPr>
      <w:r>
        <w:rPr>
          <w:rStyle w:val="text-justify"/>
          <w:rFonts w:ascii="Arial" w:hAnsi="Arial" w:cs="Arial"/>
          <w:sz w:val="24"/>
          <w:szCs w:val="24"/>
        </w:rPr>
        <w:t>w ramach celu szczegółowego 4 (vii) Wspieranie dostępu do przystępnych cenowo i zrównoważonych mieszkań,</w:t>
      </w:r>
    </w:p>
    <w:p w14:paraId="6660EC0D" w14:textId="77777777" w:rsidR="00620273" w:rsidRPr="00C76E70" w:rsidRDefault="00620273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76E70">
        <w:rPr>
          <w:rFonts w:ascii="Arial" w:hAnsi="Arial" w:cs="Arial"/>
          <w:sz w:val="24"/>
          <w:szCs w:val="24"/>
        </w:rPr>
        <w:t>w ramach instrumentu Rozwój Lokalny Kierowany przez Społeczność,</w:t>
      </w:r>
    </w:p>
    <w:p w14:paraId="4F611CE2" w14:textId="52C3F3D4" w:rsidR="00620273" w:rsidRPr="00C76E70" w:rsidRDefault="00620273" w:rsidP="009269E9">
      <w:pPr>
        <w:pStyle w:val="Akapitzlist"/>
        <w:numPr>
          <w:ilvl w:val="0"/>
          <w:numId w:val="24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76E70">
        <w:rPr>
          <w:rStyle w:val="text-justify"/>
          <w:rFonts w:ascii="Arial" w:hAnsi="Arial" w:cs="Arial"/>
          <w:sz w:val="24"/>
          <w:szCs w:val="24"/>
        </w:rPr>
        <w:t xml:space="preserve">w </w:t>
      </w:r>
      <w:r w:rsidRPr="00C76E70">
        <w:rPr>
          <w:rFonts w:ascii="Arial" w:hAnsi="Arial" w:cs="Arial"/>
          <w:sz w:val="24"/>
          <w:szCs w:val="24"/>
        </w:rPr>
        <w:t>przypadku projektów grantowych w rozumieniu art. 41 ustawy z dnia 28 kwietnia 2022 r. o zasadach realizacji zadań finansowanych ze środków europejskich w perspektywie finansowej 2021-2027</w:t>
      </w:r>
      <w:r w:rsidRPr="00C76E70">
        <w:rPr>
          <w:rStyle w:val="text-justify"/>
          <w:rFonts w:ascii="Arial" w:hAnsi="Arial" w:cs="Arial"/>
          <w:sz w:val="24"/>
          <w:szCs w:val="24"/>
        </w:rPr>
        <w:t>.</w:t>
      </w:r>
    </w:p>
    <w:p w14:paraId="6B85C751" w14:textId="2008AC15" w:rsidR="004F44AB" w:rsidRPr="00091946" w:rsidRDefault="004F44AB" w:rsidP="009269E9">
      <w:pPr>
        <w:pStyle w:val="Akapitzlist"/>
        <w:numPr>
          <w:ilvl w:val="0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FF2681">
        <w:rPr>
          <w:rFonts w:ascii="Arial" w:hAnsi="Arial" w:cs="Arial"/>
          <w:sz w:val="24"/>
        </w:rPr>
        <w:t>W drodze wyjątku od zasad</w:t>
      </w:r>
      <w:r>
        <w:rPr>
          <w:rFonts w:ascii="Arial" w:hAnsi="Arial" w:cs="Arial"/>
          <w:sz w:val="24"/>
        </w:rPr>
        <w:t>y</w:t>
      </w:r>
      <w:r w:rsidRPr="00FF2681">
        <w:rPr>
          <w:rFonts w:ascii="Arial" w:hAnsi="Arial" w:cs="Arial"/>
          <w:sz w:val="24"/>
        </w:rPr>
        <w:t xml:space="preserve"> kwalifikowalności ustanowion</w:t>
      </w:r>
      <w:r>
        <w:rPr>
          <w:rFonts w:ascii="Arial" w:hAnsi="Arial" w:cs="Arial"/>
          <w:sz w:val="24"/>
        </w:rPr>
        <w:t>ej</w:t>
      </w:r>
      <w:r w:rsidRPr="00FF2681">
        <w:rPr>
          <w:rFonts w:ascii="Arial" w:hAnsi="Arial" w:cs="Arial"/>
          <w:sz w:val="24"/>
        </w:rPr>
        <w:t xml:space="preserve"> w ust. 1 pkt 2, koszty pośrednie będą kwalifikowalne na zasadach </w:t>
      </w:r>
      <w:r w:rsidRPr="00176876">
        <w:rPr>
          <w:rFonts w:ascii="Arial" w:hAnsi="Arial" w:cs="Arial"/>
          <w:sz w:val="24"/>
          <w:szCs w:val="24"/>
        </w:rPr>
        <w:t>ogólnych</w:t>
      </w:r>
      <w:r w:rsidRPr="000608D8">
        <w:rPr>
          <w:rFonts w:cs="Arial"/>
          <w:szCs w:val="24"/>
        </w:rPr>
        <w:t>,</w:t>
      </w:r>
      <w:r>
        <w:rPr>
          <w:rFonts w:ascii="Arial" w:hAnsi="Arial" w:cs="Arial"/>
          <w:sz w:val="24"/>
        </w:rPr>
        <w:t xml:space="preserve"> wynikających z przepisów powszechnie obowiązującego prawa oraz wytycznych</w:t>
      </w:r>
      <w:r>
        <w:rPr>
          <w:rFonts w:cs="Arial"/>
        </w:rPr>
        <w:t xml:space="preserve"> </w:t>
      </w:r>
      <w:r w:rsidRPr="00176876">
        <w:rPr>
          <w:rFonts w:ascii="Arial" w:hAnsi="Arial" w:cs="Arial"/>
          <w:sz w:val="24"/>
          <w:szCs w:val="24"/>
        </w:rPr>
        <w:t>ministra właściwego do spraw rozwoju regionalnego</w:t>
      </w:r>
      <w:r w:rsidRPr="000608D8">
        <w:rPr>
          <w:rFonts w:cs="Arial"/>
          <w:szCs w:val="24"/>
        </w:rPr>
        <w:t xml:space="preserve">, </w:t>
      </w:r>
      <w:r w:rsidRPr="00176876">
        <w:rPr>
          <w:rFonts w:ascii="Arial" w:hAnsi="Arial" w:cs="Arial"/>
        </w:rPr>
        <w:t>w</w:t>
      </w:r>
      <w:r w:rsidR="003E5976">
        <w:rPr>
          <w:rFonts w:ascii="Arial" w:hAnsi="Arial" w:cs="Arial"/>
        </w:rPr>
        <w:t xml:space="preserve"> następujących</w:t>
      </w:r>
      <w:r w:rsidRPr="00176876">
        <w:rPr>
          <w:rFonts w:ascii="Arial" w:hAnsi="Arial" w:cs="Arial"/>
        </w:rPr>
        <w:t xml:space="preserve"> </w:t>
      </w:r>
      <w:r w:rsidR="003E5976">
        <w:rPr>
          <w:rFonts w:ascii="Arial" w:hAnsi="Arial" w:cs="Arial"/>
        </w:rPr>
        <w:t>sytuacjach</w:t>
      </w:r>
      <w:r w:rsidR="0009194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1129402" w14:textId="0F4F0516" w:rsidR="00091946" w:rsidRDefault="00091946" w:rsidP="009269E9">
      <w:pPr>
        <w:pStyle w:val="Akapitzlist"/>
        <w:numPr>
          <w:ilvl w:val="1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celu szczegółowego 1 (i) </w:t>
      </w:r>
      <w:r w:rsidRPr="00091946">
        <w:rPr>
          <w:rFonts w:ascii="Arial" w:hAnsi="Arial" w:cs="Arial"/>
          <w:sz w:val="24"/>
          <w:szCs w:val="24"/>
        </w:rPr>
        <w:t>Rozwijanie i wzmacnianie zdolności badawczych i innowacyjnych oraz wykorzystywanie zaawansowanych technologii</w:t>
      </w:r>
      <w:r w:rsidR="00253006">
        <w:rPr>
          <w:rFonts w:ascii="Arial" w:hAnsi="Arial" w:cs="Arial"/>
          <w:sz w:val="24"/>
          <w:szCs w:val="24"/>
        </w:rPr>
        <w:t xml:space="preserve"> – </w:t>
      </w:r>
      <w:r w:rsidR="00446C18">
        <w:rPr>
          <w:rFonts w:ascii="Arial" w:hAnsi="Arial" w:cs="Arial"/>
          <w:sz w:val="24"/>
          <w:szCs w:val="24"/>
        </w:rPr>
        <w:t xml:space="preserve">w zakresie </w:t>
      </w:r>
      <w:r w:rsidR="00253006">
        <w:rPr>
          <w:rFonts w:ascii="Arial" w:hAnsi="Arial" w:cs="Arial"/>
          <w:sz w:val="24"/>
          <w:szCs w:val="24"/>
        </w:rPr>
        <w:t>wsparcia działalności badawczo-rozwojowej przedsiębiorstw</w:t>
      </w:r>
      <w:r>
        <w:rPr>
          <w:rFonts w:ascii="Arial" w:hAnsi="Arial" w:cs="Arial"/>
          <w:sz w:val="24"/>
          <w:szCs w:val="24"/>
        </w:rPr>
        <w:t>,</w:t>
      </w:r>
    </w:p>
    <w:p w14:paraId="324053F0" w14:textId="3861DAED" w:rsidR="00091946" w:rsidRDefault="00091946" w:rsidP="009269E9">
      <w:pPr>
        <w:pStyle w:val="Akapitzlist"/>
        <w:numPr>
          <w:ilvl w:val="1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celu szczegółowego 2 (vii) </w:t>
      </w:r>
      <w:r w:rsidRPr="00091946">
        <w:rPr>
          <w:rFonts w:ascii="Arial" w:hAnsi="Arial" w:cs="Arial"/>
          <w:sz w:val="24"/>
          <w:szCs w:val="24"/>
        </w:rPr>
        <w:t xml:space="preserve">Wzmacnianie ochrony i zachowania przyrody, </w:t>
      </w:r>
      <w:r w:rsidRPr="00253006">
        <w:rPr>
          <w:rFonts w:ascii="Arial" w:hAnsi="Arial" w:cs="Arial"/>
          <w:sz w:val="24"/>
          <w:szCs w:val="24"/>
        </w:rPr>
        <w:t>różnorodności biologicznej oraz zielonej infrastruktury, w tym na obszarach miejskich, oraz ograniczanie wszelkich rodzajów zanieczyszczenia</w:t>
      </w:r>
      <w:r w:rsidR="00F55C6B">
        <w:rPr>
          <w:rFonts w:ascii="Arial" w:hAnsi="Arial" w:cs="Arial"/>
          <w:sz w:val="24"/>
          <w:szCs w:val="24"/>
        </w:rPr>
        <w:t>,</w:t>
      </w:r>
    </w:p>
    <w:p w14:paraId="1508EAB9" w14:textId="34A1A9F8" w:rsidR="00091946" w:rsidRPr="00FF12D1" w:rsidRDefault="00091946" w:rsidP="009269E9">
      <w:pPr>
        <w:pStyle w:val="Akapitzlist"/>
        <w:numPr>
          <w:ilvl w:val="1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celu szczegółowego 4 (ii) </w:t>
      </w:r>
      <w:r w:rsidRPr="00FF12D1">
        <w:rPr>
          <w:rFonts w:ascii="Arial" w:hAnsi="Arial" w:cs="Arial"/>
          <w:sz w:val="24"/>
          <w:szCs w:val="24"/>
        </w:rPr>
        <w:t>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  <w:r>
        <w:rPr>
          <w:rFonts w:ascii="Arial" w:hAnsi="Arial" w:cs="Arial"/>
          <w:sz w:val="24"/>
          <w:szCs w:val="24"/>
        </w:rPr>
        <w:t xml:space="preserve"> – w </w:t>
      </w:r>
      <w:r w:rsidR="00576F84">
        <w:rPr>
          <w:rFonts w:ascii="Arial" w:hAnsi="Arial" w:cs="Arial"/>
          <w:sz w:val="24"/>
          <w:szCs w:val="24"/>
        </w:rPr>
        <w:t xml:space="preserve">zakresie </w:t>
      </w:r>
      <w:r w:rsidR="00253006">
        <w:rPr>
          <w:rFonts w:ascii="Arial" w:hAnsi="Arial" w:cs="Arial"/>
          <w:sz w:val="24"/>
          <w:szCs w:val="24"/>
        </w:rPr>
        <w:t>upowszechniania edukacji przedszkolnej</w:t>
      </w:r>
      <w:r w:rsidRPr="00091946">
        <w:rPr>
          <w:rFonts w:ascii="Arial" w:hAnsi="Arial" w:cs="Arial"/>
          <w:sz w:val="24"/>
          <w:szCs w:val="24"/>
        </w:rPr>
        <w:t>,</w:t>
      </w:r>
    </w:p>
    <w:p w14:paraId="122185C4" w14:textId="77777777" w:rsidR="00091946" w:rsidRPr="00C76E70" w:rsidRDefault="00091946" w:rsidP="009269E9">
      <w:pPr>
        <w:pStyle w:val="Akapitzlist"/>
        <w:numPr>
          <w:ilvl w:val="1"/>
          <w:numId w:val="11"/>
        </w:numPr>
        <w:spacing w:after="240" w:line="276" w:lineRule="auto"/>
        <w:ind w:left="0" w:firstLine="0"/>
        <w:rPr>
          <w:rStyle w:val="text-justify"/>
          <w:rFonts w:ascii="Arial" w:hAnsi="Arial" w:cs="Arial"/>
          <w:sz w:val="24"/>
          <w:szCs w:val="24"/>
        </w:rPr>
      </w:pPr>
      <w:r w:rsidRPr="00176876">
        <w:rPr>
          <w:rFonts w:ascii="Arial" w:hAnsi="Arial" w:cs="Arial"/>
        </w:rPr>
        <w:lastRenderedPageBreak/>
        <w:t xml:space="preserve">w ramach celu szczegółowego </w:t>
      </w:r>
      <w:r w:rsidRPr="003876BB">
        <w:rPr>
          <w:rFonts w:ascii="Arial" w:hAnsi="Arial" w:cs="Arial"/>
          <w:sz w:val="24"/>
          <w:szCs w:val="24"/>
        </w:rPr>
        <w:t>4 (iii)</w:t>
      </w:r>
      <w:r w:rsidRPr="00FF2681">
        <w:rPr>
          <w:rFonts w:ascii="Arial" w:hAnsi="Arial" w:cs="Arial"/>
          <w:sz w:val="24"/>
          <w:szCs w:val="24"/>
        </w:rPr>
        <w:t xml:space="preserve"> W</w:t>
      </w:r>
      <w:r w:rsidRPr="00FF2681">
        <w:rPr>
          <w:rStyle w:val="text-justify"/>
          <w:rFonts w:ascii="Arial" w:hAnsi="Arial" w:cs="Arial"/>
          <w:sz w:val="24"/>
          <w:szCs w:val="24"/>
        </w:rPr>
        <w:t>spieranie włączenia społeczno-gospodarczego społeczności marginalizowanych, gospodarstw domowych o niskich dochodach oraz grup w niekorzystnej sytuacji, w tym osób o szczególnych potrzebach, dzięki zin</w:t>
      </w:r>
      <w:r w:rsidRPr="00C76E70">
        <w:rPr>
          <w:rStyle w:val="text-justify"/>
          <w:rFonts w:ascii="Arial" w:hAnsi="Arial" w:cs="Arial"/>
          <w:sz w:val="24"/>
          <w:szCs w:val="24"/>
        </w:rPr>
        <w:t>tegrowanym działaniom obejmującym usługi mieszkaniowe i usługi społeczne</w:t>
      </w:r>
      <w:r>
        <w:rPr>
          <w:rStyle w:val="text-justify"/>
          <w:rFonts w:ascii="Arial" w:hAnsi="Arial" w:cs="Arial"/>
          <w:sz w:val="24"/>
          <w:szCs w:val="24"/>
        </w:rPr>
        <w:t>,</w:t>
      </w:r>
    </w:p>
    <w:p w14:paraId="2B15596A" w14:textId="77777777" w:rsidR="00091946" w:rsidRPr="00C76E70" w:rsidRDefault="00091946" w:rsidP="009269E9">
      <w:pPr>
        <w:pStyle w:val="Akapitzlist"/>
        <w:numPr>
          <w:ilvl w:val="1"/>
          <w:numId w:val="11"/>
        </w:numPr>
        <w:spacing w:after="24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76E70">
        <w:rPr>
          <w:rFonts w:ascii="Arial" w:hAnsi="Arial" w:cs="Arial"/>
          <w:sz w:val="24"/>
          <w:szCs w:val="24"/>
        </w:rPr>
        <w:t>w ramach instrumentu Rozwój Lokalny Kierowany przez Społeczność,</w:t>
      </w:r>
    </w:p>
    <w:p w14:paraId="685DA4BD" w14:textId="60CB74A6" w:rsidR="004F44AB" w:rsidRPr="003E3335" w:rsidRDefault="00091946" w:rsidP="009269E9">
      <w:pPr>
        <w:pStyle w:val="Akapitzlist"/>
        <w:numPr>
          <w:ilvl w:val="1"/>
          <w:numId w:val="11"/>
        </w:numPr>
        <w:spacing w:after="240" w:line="276" w:lineRule="auto"/>
        <w:ind w:left="0" w:firstLine="0"/>
        <w:rPr>
          <w:rFonts w:cs="Arial"/>
        </w:rPr>
      </w:pPr>
      <w:r w:rsidRPr="00C76E70">
        <w:rPr>
          <w:rStyle w:val="text-justify"/>
          <w:rFonts w:ascii="Arial" w:hAnsi="Arial" w:cs="Arial"/>
          <w:sz w:val="24"/>
          <w:szCs w:val="24"/>
        </w:rPr>
        <w:t xml:space="preserve">w </w:t>
      </w:r>
      <w:r w:rsidRPr="00C76E70">
        <w:rPr>
          <w:rFonts w:ascii="Arial" w:hAnsi="Arial" w:cs="Arial"/>
          <w:sz w:val="24"/>
          <w:szCs w:val="24"/>
        </w:rPr>
        <w:t xml:space="preserve">przypadku projektów grantowych w rozumieniu art. 41 ustawy z dnia 28 kwietnia 2022 r. o zasadach realizacji zadań finansowanych ze środków europejskich </w:t>
      </w:r>
      <w:r w:rsidR="009D10CD">
        <w:rPr>
          <w:rFonts w:ascii="Arial" w:hAnsi="Arial" w:cs="Arial"/>
          <w:sz w:val="24"/>
          <w:szCs w:val="24"/>
        </w:rPr>
        <w:br/>
      </w:r>
      <w:r w:rsidRPr="00C76E70">
        <w:rPr>
          <w:rFonts w:ascii="Arial" w:hAnsi="Arial" w:cs="Arial"/>
          <w:sz w:val="24"/>
          <w:szCs w:val="24"/>
        </w:rPr>
        <w:t>w perspektywie finansowej 2021-2027</w:t>
      </w:r>
      <w:r w:rsidRPr="00C76E70">
        <w:rPr>
          <w:rStyle w:val="text-justify"/>
          <w:rFonts w:ascii="Arial" w:hAnsi="Arial" w:cs="Arial"/>
          <w:sz w:val="24"/>
          <w:szCs w:val="24"/>
        </w:rPr>
        <w:t>.</w:t>
      </w:r>
      <w:r w:rsidR="004E3694">
        <w:rPr>
          <w:rStyle w:val="text-justify"/>
          <w:rFonts w:ascii="Arial" w:hAnsi="Arial" w:cs="Arial"/>
          <w:sz w:val="24"/>
          <w:szCs w:val="24"/>
        </w:rPr>
        <w:t>”</w:t>
      </w:r>
    </w:p>
    <w:p w14:paraId="6C6CC161" w14:textId="071858E3" w:rsidR="00C67CFB" w:rsidRPr="00CF0196" w:rsidRDefault="00CF0196" w:rsidP="009269E9">
      <w:pPr>
        <w:pStyle w:val="Nagwek2"/>
        <w:spacing w:line="276" w:lineRule="auto"/>
      </w:pPr>
      <w:r w:rsidRPr="00393DAF">
        <w:t>§ </w:t>
      </w:r>
      <w:r w:rsidR="00AB53AF">
        <w:t>2</w:t>
      </w:r>
      <w:r w:rsidRPr="00393DAF">
        <w:t>.</w:t>
      </w:r>
    </w:p>
    <w:p w14:paraId="2343A35F" w14:textId="0B5CD19D" w:rsidR="00D229F0" w:rsidRDefault="00AB53AF" w:rsidP="009269E9">
      <w:pPr>
        <w:suppressAutoHyphens/>
        <w:spacing w:after="240" w:line="276" w:lineRule="auto"/>
        <w:rPr>
          <w:rFonts w:cs="Arial"/>
        </w:rPr>
      </w:pPr>
      <w:r>
        <w:rPr>
          <w:rFonts w:cs="Arial"/>
        </w:rPr>
        <w:t>Treść niniejszej uchwały wraz z uzasadnieniem</w:t>
      </w:r>
      <w:r w:rsidR="00F77247" w:rsidRPr="00CF0196">
        <w:rPr>
          <w:rFonts w:cs="Arial"/>
        </w:rPr>
        <w:t xml:space="preserve"> </w:t>
      </w:r>
      <w:r w:rsidR="0038060F" w:rsidRPr="00CF0196">
        <w:rPr>
          <w:rFonts w:cs="Arial"/>
        </w:rPr>
        <w:t>zostanie podan</w:t>
      </w:r>
      <w:r>
        <w:rPr>
          <w:rFonts w:cs="Arial"/>
        </w:rPr>
        <w:t>a</w:t>
      </w:r>
      <w:r w:rsidR="0038060F" w:rsidRPr="00CF0196">
        <w:rPr>
          <w:rFonts w:cs="Arial"/>
        </w:rPr>
        <w:t xml:space="preserve"> do publicznej wiadomości </w:t>
      </w:r>
      <w:r w:rsidR="00F77247" w:rsidRPr="00CF0196">
        <w:rPr>
          <w:rFonts w:cs="Arial"/>
        </w:rPr>
        <w:t xml:space="preserve">na </w:t>
      </w:r>
      <w:r w:rsidR="00930FB0">
        <w:rPr>
          <w:rFonts w:cs="Arial"/>
        </w:rPr>
        <w:t>portalu</w:t>
      </w:r>
      <w:r w:rsidR="00F77247" w:rsidRPr="00CF0196">
        <w:rPr>
          <w:rFonts w:cs="Arial"/>
        </w:rPr>
        <w:t xml:space="preserve"> internetow</w:t>
      </w:r>
      <w:r w:rsidR="00930FB0">
        <w:rPr>
          <w:rFonts w:cs="Arial"/>
        </w:rPr>
        <w:t xml:space="preserve">ym </w:t>
      </w:r>
      <w:r w:rsidR="00A15120">
        <w:rPr>
          <w:rFonts w:cs="Arial"/>
        </w:rPr>
        <w:t>funduszy europejskich</w:t>
      </w:r>
      <w:r w:rsidR="00F77247" w:rsidRPr="00CF0196">
        <w:rPr>
          <w:rFonts w:cs="Arial"/>
        </w:rPr>
        <w:t>.</w:t>
      </w:r>
    </w:p>
    <w:p w14:paraId="74DF342C" w14:textId="1829AF3E" w:rsidR="00CF0196" w:rsidRPr="00CF0196" w:rsidRDefault="00CF0196" w:rsidP="009269E9">
      <w:pPr>
        <w:pStyle w:val="Nagwek2"/>
        <w:spacing w:line="276" w:lineRule="auto"/>
      </w:pPr>
      <w:r w:rsidRPr="00393DAF">
        <w:t>§ </w:t>
      </w:r>
      <w:r w:rsidR="00AB53AF">
        <w:t>3</w:t>
      </w:r>
      <w:r w:rsidRPr="00393DAF">
        <w:t>.</w:t>
      </w:r>
    </w:p>
    <w:p w14:paraId="31E172D2" w14:textId="21F3E35E" w:rsidR="00E80FA9" w:rsidRPr="00CF0196" w:rsidRDefault="008E2DD6" w:rsidP="009269E9">
      <w:pPr>
        <w:autoSpaceDE w:val="0"/>
        <w:autoSpaceDN w:val="0"/>
        <w:adjustRightInd w:val="0"/>
        <w:spacing w:after="240" w:line="276" w:lineRule="auto"/>
        <w:rPr>
          <w:rFonts w:cs="Arial"/>
          <w:b/>
          <w:bCs/>
        </w:rPr>
      </w:pPr>
      <w:r w:rsidRPr="00CF0196">
        <w:rPr>
          <w:rFonts w:cs="Arial"/>
        </w:rPr>
        <w:t xml:space="preserve">Uchwała wchodzi w życie z dniem </w:t>
      </w:r>
      <w:r w:rsidR="00620273">
        <w:rPr>
          <w:rFonts w:cs="Arial"/>
        </w:rPr>
        <w:t>podjęcia</w:t>
      </w:r>
      <w:r w:rsidR="00F94C2F" w:rsidRPr="00CF0196">
        <w:rPr>
          <w:rFonts w:cs="Arial"/>
        </w:rPr>
        <w:t>.</w:t>
      </w:r>
    </w:p>
    <w:p w14:paraId="30FEBF6D" w14:textId="77777777" w:rsidR="005A1291" w:rsidRPr="00242FCE" w:rsidRDefault="005E34EE" w:rsidP="009269E9">
      <w:pPr>
        <w:pStyle w:val="Nagwek2"/>
        <w:spacing w:line="276" w:lineRule="auto"/>
      </w:pPr>
      <w:r w:rsidRPr="00CF0196">
        <w:rPr>
          <w:lang w:val="pt-PT"/>
        </w:rPr>
        <w:br w:type="page"/>
      </w:r>
      <w:r w:rsidR="005A1291" w:rsidRPr="00242FCE">
        <w:rPr>
          <w:lang w:val="pt-PT"/>
        </w:rPr>
        <w:lastRenderedPageBreak/>
        <w:t>U</w:t>
      </w:r>
      <w:r w:rsidR="00242FCE">
        <w:rPr>
          <w:lang w:val="pt-PT"/>
        </w:rPr>
        <w:t>zasadnienie</w:t>
      </w:r>
    </w:p>
    <w:p w14:paraId="1B707E1F" w14:textId="291FB28B" w:rsidR="0064362D" w:rsidRDefault="007A36E8" w:rsidP="003E3335">
      <w:pPr>
        <w:autoSpaceDE w:val="0"/>
        <w:autoSpaceDN w:val="0"/>
        <w:adjustRightInd w:val="0"/>
        <w:spacing w:after="120" w:line="276" w:lineRule="auto"/>
      </w:pPr>
      <w:r>
        <w:rPr>
          <w:rFonts w:cs="Arial"/>
        </w:rPr>
        <w:t>Zgodnie z art. 63 ust. 1 Rozporządzenia ogólnego</w:t>
      </w:r>
      <w:r>
        <w:rPr>
          <w:rStyle w:val="Odwoanieprzypisudolnego"/>
          <w:rFonts w:cs="Arial"/>
        </w:rPr>
        <w:footnoteReference w:id="1"/>
      </w:r>
      <w:r>
        <w:rPr>
          <w:szCs w:val="22"/>
        </w:rPr>
        <w:t>, zasadą jest, że k</w:t>
      </w:r>
      <w:r>
        <w:t>walifikowalność wydatków ustala się na podstawie przepisów krajowych.</w:t>
      </w:r>
    </w:p>
    <w:p w14:paraId="40114D3F" w14:textId="70E049AA" w:rsidR="007A36E8" w:rsidRDefault="00F20E12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Takimi przepisami krajowymi w Polsce jest</w:t>
      </w:r>
      <w:r w:rsidR="007A36E8">
        <w:rPr>
          <w:rFonts w:cs="Arial"/>
        </w:rPr>
        <w:t xml:space="preserve"> Ustawa wdrożeniowa</w:t>
      </w:r>
      <w:r w:rsidR="007A36E8">
        <w:rPr>
          <w:rStyle w:val="Odwoanieprzypisudolnego"/>
          <w:rFonts w:cs="Arial"/>
        </w:rPr>
        <w:footnoteReference w:id="2"/>
      </w:r>
      <w:r w:rsidR="007A36E8">
        <w:rPr>
          <w:rFonts w:cs="Arial"/>
        </w:rPr>
        <w:t xml:space="preserve"> dla perspektywy finansowej 2021-2027</w:t>
      </w:r>
      <w:r>
        <w:rPr>
          <w:rFonts w:cs="Arial"/>
        </w:rPr>
        <w:t xml:space="preserve">. </w:t>
      </w:r>
    </w:p>
    <w:p w14:paraId="6E114CC2" w14:textId="77777777" w:rsidR="001E1071" w:rsidRDefault="00F20E12" w:rsidP="003E3335">
      <w:pPr>
        <w:autoSpaceDE w:val="0"/>
        <w:autoSpaceDN w:val="0"/>
        <w:adjustRightInd w:val="0"/>
        <w:spacing w:after="120" w:line="276" w:lineRule="auto"/>
      </w:pPr>
      <w:r>
        <w:rPr>
          <w:rFonts w:cs="Arial"/>
        </w:rPr>
        <w:t xml:space="preserve">Ustawa wdrożeniowa dała kompetencję do ustanowienia zasad kwalifikowalności wydatków w ramach programów </w:t>
      </w:r>
      <w:r>
        <w:t>ministrowi właściwemu do spraw rozwoju regionalnego, wykonującemu zadania państwa członkowskiego (art. 5 ust. 1 pkt 2 Ustawy wdrożeniowej). Minister właściwy do spraw rozwoju regionalnego ustanawia te zasady w formie wytycznych, a zatem instrumentu prawnego</w:t>
      </w:r>
      <w:r w:rsidR="00950A5C">
        <w:t xml:space="preserve"> skierowanego do instytucji uczestniczących w realizacji programów oraz stosowane</w:t>
      </w:r>
      <w:r w:rsidR="008C29FA">
        <w:t>go</w:t>
      </w:r>
      <w:r w:rsidR="00950A5C">
        <w:t xml:space="preserve"> przez te instytucje, a także przez beneficjentów na podstawie umowy o dofinansowanie projektu albo decyzji o dofinansowaniu projektu. </w:t>
      </w:r>
      <w:r w:rsidR="00E73391">
        <w:t xml:space="preserve">Kwestie zasad kwalifikowalności wydatków </w:t>
      </w:r>
      <w:r w:rsidR="00253006">
        <w:t>zostały uregulowane</w:t>
      </w:r>
      <w:r w:rsidR="00446C18">
        <w:t xml:space="preserve"> w</w:t>
      </w:r>
      <w:r w:rsidR="00E73391">
        <w:t xml:space="preserve"> </w:t>
      </w:r>
      <w:r w:rsidR="00E73391">
        <w:rPr>
          <w:rFonts w:cs="Arial"/>
        </w:rPr>
        <w:t>Wytycznych dotyczących kwalifikowalności wydatków na lata 2021-2027</w:t>
      </w:r>
      <w:r w:rsidR="00E73391">
        <w:rPr>
          <w:rStyle w:val="Odwoanieprzypisudolnego"/>
          <w:rFonts w:cs="Arial"/>
        </w:rPr>
        <w:footnoteReference w:id="3"/>
      </w:r>
      <w:r w:rsidR="00E73391">
        <w:rPr>
          <w:rFonts w:cs="Arial"/>
        </w:rPr>
        <w:t xml:space="preserve"> (dalej: „Wytyczne dot. kwalifikowalności”).</w:t>
      </w:r>
      <w:r w:rsidR="00E73391">
        <w:t xml:space="preserve"> </w:t>
      </w:r>
      <w:r w:rsidR="00620273">
        <w:t>Jedną z</w:t>
      </w:r>
      <w:r w:rsidR="00950A5C">
        <w:t xml:space="preserve"> instytucji</w:t>
      </w:r>
      <w:r w:rsidR="00620273">
        <w:t>, do których skierowane są Wytyczne dot. kwalifikowalności,</w:t>
      </w:r>
      <w:r w:rsidR="00950A5C">
        <w:t xml:space="preserve"> jest instytucja zarządzająca, którą w przypadku regionalnego programu, jakim jest program Fundusze Regionalne dla Pomorza 2021-2027</w:t>
      </w:r>
      <w:r w:rsidR="005A6ED4">
        <w:t xml:space="preserve"> (dalej: „FEP”)</w:t>
      </w:r>
      <w:r w:rsidR="00950A5C">
        <w:t xml:space="preserve">, </w:t>
      </w:r>
      <w:r w:rsidR="00253006">
        <w:t>jest</w:t>
      </w:r>
      <w:r w:rsidR="00950A5C">
        <w:t xml:space="preserve"> zarząd województwa (art. 8 ust. 1 pkt 2 Ustawy wdrożeniowej).</w:t>
      </w:r>
      <w:r w:rsidR="00C74201">
        <w:t xml:space="preserve"> Instytucja Zarządzająca ma przy tym obowiązek zapewnienia informacji o programie (art. 8 ust. 2 pkt 13 Ustawy wdrożeniowej)</w:t>
      </w:r>
      <w:r w:rsidR="00BA41E8">
        <w:t>.</w:t>
      </w:r>
    </w:p>
    <w:p w14:paraId="4A3CCE75" w14:textId="520981B4" w:rsidR="00F71478" w:rsidRDefault="0083533B" w:rsidP="003E3335">
      <w:pPr>
        <w:autoSpaceDE w:val="0"/>
        <w:autoSpaceDN w:val="0"/>
        <w:adjustRightInd w:val="0"/>
        <w:spacing w:after="120" w:line="276" w:lineRule="auto"/>
      </w:pPr>
      <w:r>
        <w:t>W związku z wejściem w życie</w:t>
      </w:r>
      <w:r w:rsidR="001E1071">
        <w:t xml:space="preserve"> rozporządzenia Parlamentu Europejskiego i Rady (UE) 2025/1914 z dnia 18 września 2025 r. w sprawie zmiany rozporządzeń (UE) 2021/1058 i (UE) 2021/1056 w odniesieniu do środków szczególnych mających na celu sprostanie </w:t>
      </w:r>
      <w:r w:rsidR="00F71478">
        <w:t>strategicznym</w:t>
      </w:r>
      <w:r w:rsidR="001E1071">
        <w:t xml:space="preserve"> wyzwaniom w kontekście </w:t>
      </w:r>
      <w:r w:rsidR="00F71478">
        <w:t>przeglądu śródokresowego, konieczna stała się zmiana przedmiotowej uchwały w związku z rozszerzeniem listy celów polityki.</w:t>
      </w:r>
    </w:p>
    <w:p w14:paraId="3F0CD74E" w14:textId="7846ECD4" w:rsidR="00F71478" w:rsidRDefault="00F71478" w:rsidP="003E3335">
      <w:pPr>
        <w:autoSpaceDE w:val="0"/>
        <w:autoSpaceDN w:val="0"/>
        <w:adjustRightInd w:val="0"/>
        <w:spacing w:after="120" w:line="276" w:lineRule="auto"/>
      </w:pPr>
      <w:r>
        <w:t xml:space="preserve">W trakcie dotychczasowej realizacji programu Fundusze Europejskie dla Pomorza 2021-2027 do Instytucji Zarządzającej wpłynęło wiele wniosków o zmianę kwalifikowalności podatku VAT w zakresie celu polityki 2 (vii) </w:t>
      </w:r>
      <w:r w:rsidRPr="00086166">
        <w:rPr>
          <w:rFonts w:cs="Arial"/>
        </w:rPr>
        <w:t>Wzmacnianie ochrony i zachowania przyrody, różnorodności biologicznej oraz zielonej infrastruktury, w tym na obszarach miejskich, oraz ograniczanie wszelkich rodzajów zanieczyszczenia</w:t>
      </w:r>
      <w:r>
        <w:rPr>
          <w:rFonts w:cs="Arial"/>
        </w:rPr>
        <w:t xml:space="preserve">. Potencjalni wnioskodawcy, będący zarówno jednostkami samorządu terytorialnego, jak również organizacjami pozarządowym, wskazywali na brak prawnej możliwości odzyskania zapłaconego podatku VAT na gruncie </w:t>
      </w:r>
      <w:r>
        <w:rPr>
          <w:rFonts w:cs="Arial"/>
        </w:rPr>
        <w:lastRenderedPageBreak/>
        <w:t>prawa krajowego, co powodowało konieczność zabezpieczenia dodatkowych środków na niekwalifikowalny podatek VAT. Dla tych wnioskodawców stanowiło to barierę uniemożliwiającą składanie wniosków o dofinansowanie na realizację zaplanowanych projektów.</w:t>
      </w:r>
      <w:r w:rsidR="002D2484">
        <w:rPr>
          <w:rFonts w:cs="Arial"/>
        </w:rPr>
        <w:t xml:space="preserve"> W </w:t>
      </w:r>
      <w:r w:rsidR="00BB6E89">
        <w:rPr>
          <w:rFonts w:cs="Arial"/>
        </w:rPr>
        <w:t>niniejszej</w:t>
      </w:r>
      <w:r w:rsidR="002D2484">
        <w:rPr>
          <w:rFonts w:cs="Arial"/>
        </w:rPr>
        <w:t xml:space="preserve"> zmianie </w:t>
      </w:r>
      <w:r w:rsidR="00BB6E89">
        <w:rPr>
          <w:rFonts w:cs="Arial"/>
        </w:rPr>
        <w:t>uchwały</w:t>
      </w:r>
      <w:r w:rsidR="002D2484">
        <w:rPr>
          <w:rFonts w:cs="Arial"/>
        </w:rPr>
        <w:t xml:space="preserve"> </w:t>
      </w:r>
      <w:r w:rsidR="00BB6E89">
        <w:rPr>
          <w:rFonts w:cs="Arial"/>
        </w:rPr>
        <w:t xml:space="preserve">następuje zmiana i rozszerzenie kwalifikowalności podatku VAT na wszystkie projekty z zakresu bioróżnorodności. </w:t>
      </w:r>
    </w:p>
    <w:p w14:paraId="01152E61" w14:textId="72E330F4" w:rsidR="00F20E12" w:rsidRDefault="0083533B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Zmiana przyjętych</w:t>
      </w:r>
      <w:r w:rsidR="00950A5C">
        <w:rPr>
          <w:rFonts w:cs="Arial"/>
        </w:rPr>
        <w:t xml:space="preserve"> </w:t>
      </w:r>
      <w:r w:rsidR="001A439A">
        <w:rPr>
          <w:rFonts w:cs="Arial"/>
        </w:rPr>
        <w:t xml:space="preserve">zasad </w:t>
      </w:r>
      <w:r w:rsidR="00950A5C">
        <w:rPr>
          <w:rFonts w:cs="Arial"/>
        </w:rPr>
        <w:t>co do kwalifikowalności wydatków w regionalnym programie Fundusze Europejskie dla Pomorza 2021-2027</w:t>
      </w:r>
      <w:r>
        <w:rPr>
          <w:rFonts w:cs="Arial"/>
        </w:rPr>
        <w:t xml:space="preserve"> p</w:t>
      </w:r>
      <w:r w:rsidR="00950A5C">
        <w:rPr>
          <w:rFonts w:cs="Arial"/>
        </w:rPr>
        <w:t>ozwoli na szybkie zakomunikowanie przyszłym wnioskodawcom zasad</w:t>
      </w:r>
      <w:r w:rsidR="005C6B42">
        <w:rPr>
          <w:rFonts w:cs="Arial"/>
        </w:rPr>
        <w:t xml:space="preserve"> kwalifikowalności</w:t>
      </w:r>
      <w:r w:rsidR="005A6ED4">
        <w:rPr>
          <w:rFonts w:cs="Arial"/>
        </w:rPr>
        <w:t xml:space="preserve">. To z kolei umożliwi przyszłym wnioskodawcom lepsze przygotowanie projektów i zapewni przejrzystość zasad kwalifikowalności wydatków. Ostatecznie te </w:t>
      </w:r>
      <w:r w:rsidR="004E7A0F">
        <w:rPr>
          <w:rFonts w:cs="Arial"/>
        </w:rPr>
        <w:t xml:space="preserve">zasady zostaną </w:t>
      </w:r>
      <w:r w:rsidR="000608D8">
        <w:rPr>
          <w:rFonts w:cs="Arial"/>
        </w:rPr>
        <w:t xml:space="preserve">włączone </w:t>
      </w:r>
      <w:r w:rsidR="004E7A0F">
        <w:rPr>
          <w:rFonts w:cs="Arial"/>
        </w:rPr>
        <w:t>do</w:t>
      </w:r>
      <w:r w:rsidR="005A6ED4">
        <w:rPr>
          <w:rFonts w:cs="Arial"/>
        </w:rPr>
        <w:t xml:space="preserve"> regulamin</w:t>
      </w:r>
      <w:r w:rsidR="004E7A0F">
        <w:rPr>
          <w:rFonts w:cs="Arial"/>
        </w:rPr>
        <w:t>ów</w:t>
      </w:r>
      <w:r w:rsidR="005A6ED4">
        <w:rPr>
          <w:rFonts w:cs="Arial"/>
        </w:rPr>
        <w:t xml:space="preserve"> wyboru projektów, które będą przyjmowane przez Instytucję Zarządzającą FEP</w:t>
      </w:r>
      <w:r w:rsidR="000608D8">
        <w:rPr>
          <w:rFonts w:cs="Arial"/>
        </w:rPr>
        <w:t xml:space="preserve"> albo instytucję pośredniczącą</w:t>
      </w:r>
      <w:r w:rsidR="005A6ED4">
        <w:rPr>
          <w:rFonts w:cs="Arial"/>
        </w:rPr>
        <w:t>.</w:t>
      </w:r>
    </w:p>
    <w:p w14:paraId="238A8FFE" w14:textId="3D99845C" w:rsidR="005A6ED4" w:rsidRDefault="001A439A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Zasady </w:t>
      </w:r>
      <w:r w:rsidR="005A6ED4">
        <w:rPr>
          <w:rFonts w:cs="Arial"/>
        </w:rPr>
        <w:t>przyjęte w tej uchwale dotyczą tylko projektów, które łącznie spełnią dwa warunki:</w:t>
      </w:r>
    </w:p>
    <w:p w14:paraId="5DF6CF29" w14:textId="6E93C7A5" w:rsidR="005A6ED4" w:rsidRPr="005A6ED4" w:rsidRDefault="005A6ED4" w:rsidP="003E33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4"/>
        </w:rPr>
      </w:pPr>
      <w:r w:rsidRPr="005A6ED4">
        <w:rPr>
          <w:rFonts w:ascii="Arial" w:hAnsi="Arial" w:cs="Arial"/>
          <w:sz w:val="24"/>
        </w:rPr>
        <w:t>dofinansowanie dla nich będzie pochodziło z Europejskiego Funduszu Rozwoju Regionalnego i</w:t>
      </w:r>
    </w:p>
    <w:p w14:paraId="365F02D2" w14:textId="0AC86309" w:rsidR="005A6ED4" w:rsidRDefault="005A6ED4" w:rsidP="003E333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sz w:val="24"/>
        </w:rPr>
      </w:pPr>
      <w:r w:rsidRPr="005A6ED4">
        <w:rPr>
          <w:rFonts w:ascii="Arial" w:hAnsi="Arial" w:cs="Arial"/>
          <w:sz w:val="24"/>
        </w:rPr>
        <w:t>dofinansowanie to zostanie udzielone w formie dotacji.</w:t>
      </w:r>
    </w:p>
    <w:p w14:paraId="74E3F3ED" w14:textId="70E06FB3" w:rsidR="00137534" w:rsidRDefault="00481CEE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P</w:t>
      </w:r>
      <w:r w:rsidR="000A06E7">
        <w:rPr>
          <w:rFonts w:cs="Arial"/>
        </w:rPr>
        <w:t xml:space="preserve">rzyjęte </w:t>
      </w:r>
      <w:r w:rsidR="001A439A">
        <w:rPr>
          <w:rFonts w:cs="Arial"/>
        </w:rPr>
        <w:t>zasady</w:t>
      </w:r>
      <w:r w:rsidR="00682268">
        <w:rPr>
          <w:rFonts w:cs="Arial"/>
        </w:rPr>
        <w:t xml:space="preserve"> dot. </w:t>
      </w:r>
      <w:r w:rsidR="000A06E7" w:rsidRPr="00EC42BD">
        <w:rPr>
          <w:rFonts w:cs="Arial"/>
        </w:rPr>
        <w:t>kwalifikowalności wydatków</w:t>
      </w:r>
      <w:r w:rsidR="000A06E7">
        <w:rPr>
          <w:rFonts w:cs="Arial"/>
        </w:rPr>
        <w:t xml:space="preserve"> nie dotyczą pomocy technicznej FEP.</w:t>
      </w:r>
      <w:r w:rsidR="00137534">
        <w:rPr>
          <w:rFonts w:cs="Arial"/>
        </w:rPr>
        <w:t xml:space="preserve"> </w:t>
      </w:r>
    </w:p>
    <w:p w14:paraId="2D8DCE7F" w14:textId="53F869C4" w:rsidR="00AE2851" w:rsidRDefault="005A6ED4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Przechodząc do omówienia poszczególnych </w:t>
      </w:r>
      <w:r w:rsidR="001A439A">
        <w:rPr>
          <w:rFonts w:cs="Arial"/>
        </w:rPr>
        <w:t xml:space="preserve">zasad </w:t>
      </w:r>
      <w:r>
        <w:rPr>
          <w:rFonts w:cs="Arial"/>
        </w:rPr>
        <w:t>należy wskazać na następujące kwestie:</w:t>
      </w:r>
    </w:p>
    <w:p w14:paraId="7FF0DE4F" w14:textId="48878F8F" w:rsidR="005A6ED4" w:rsidRDefault="005A6ED4" w:rsidP="009269E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hanging="426"/>
        <w:rPr>
          <w:rFonts w:ascii="Arial" w:hAnsi="Arial" w:cs="Arial"/>
          <w:b/>
          <w:sz w:val="24"/>
          <w:szCs w:val="24"/>
        </w:rPr>
      </w:pPr>
      <w:proofErr w:type="spellStart"/>
      <w:r w:rsidRPr="005A6ED4">
        <w:rPr>
          <w:rFonts w:ascii="Arial" w:hAnsi="Arial" w:cs="Arial"/>
          <w:b/>
          <w:sz w:val="24"/>
          <w:szCs w:val="24"/>
        </w:rPr>
        <w:t>Niekwalifikowalność</w:t>
      </w:r>
      <w:proofErr w:type="spellEnd"/>
      <w:r w:rsidRPr="005A6ED4">
        <w:rPr>
          <w:rFonts w:ascii="Arial" w:hAnsi="Arial" w:cs="Arial"/>
          <w:b/>
          <w:sz w:val="24"/>
          <w:szCs w:val="24"/>
        </w:rPr>
        <w:t xml:space="preserve"> podatku od towarów i usług (VAT)</w:t>
      </w:r>
    </w:p>
    <w:p w14:paraId="439B7861" w14:textId="0C0E4963" w:rsidR="005A6ED4" w:rsidRDefault="00E17BBE" w:rsidP="003E3335">
      <w:pPr>
        <w:autoSpaceDE w:val="0"/>
        <w:autoSpaceDN w:val="0"/>
        <w:adjustRightInd w:val="0"/>
        <w:spacing w:after="120" w:line="276" w:lineRule="auto"/>
        <w:rPr>
          <w:rFonts w:cs="Arial"/>
          <w:bCs/>
        </w:rPr>
      </w:pPr>
      <w:r>
        <w:rPr>
          <w:rFonts w:cs="Arial"/>
        </w:rPr>
        <w:t>Z punktu 3 w podrozdziale 2.3 Wytycznych</w:t>
      </w:r>
      <w:r w:rsidR="008C29FA">
        <w:rPr>
          <w:rFonts w:cs="Arial"/>
        </w:rPr>
        <w:t xml:space="preserve"> dot. kwalifikowalności</w:t>
      </w:r>
      <w:r>
        <w:rPr>
          <w:rFonts w:cs="Arial"/>
        </w:rPr>
        <w:t xml:space="preserve"> wynika, że </w:t>
      </w:r>
      <w:r>
        <w:rPr>
          <w:rFonts w:cs="Arial"/>
          <w:bCs/>
        </w:rPr>
        <w:t>w</w:t>
      </w:r>
      <w:r w:rsidRPr="00BC7811">
        <w:rPr>
          <w:rFonts w:cs="Arial"/>
          <w:bCs/>
        </w:rPr>
        <w:t xml:space="preserve">łaściwa instytucja może określić w programie, </w:t>
      </w:r>
      <w:r w:rsidR="00BA41E8">
        <w:rPr>
          <w:rFonts w:cs="Arial"/>
          <w:bCs/>
        </w:rPr>
        <w:t>szczegółowym opisie priorytetów programu (dalej: „</w:t>
      </w:r>
      <w:r w:rsidRPr="00BC7811">
        <w:rPr>
          <w:rFonts w:cs="Arial"/>
          <w:bCs/>
        </w:rPr>
        <w:t>SZOP</w:t>
      </w:r>
      <w:r w:rsidR="00BA41E8">
        <w:rPr>
          <w:rFonts w:cs="Arial"/>
          <w:bCs/>
        </w:rPr>
        <w:t>”)</w:t>
      </w:r>
      <w:r w:rsidRPr="00BC7811">
        <w:rPr>
          <w:rFonts w:cs="Arial"/>
          <w:bCs/>
        </w:rPr>
        <w:t xml:space="preserve"> lub regulaminie wyboru projektów inne wydatki niekwalifikowalne niż wymienione w pkt </w:t>
      </w:r>
      <w:r w:rsidRPr="00FA760D">
        <w:rPr>
          <w:rFonts w:cs="Arial"/>
          <w:bCs/>
        </w:rPr>
        <w:t>1 tego podrozdziału.</w:t>
      </w:r>
      <w:r w:rsidR="00EA0BBE" w:rsidRPr="00FA760D">
        <w:rPr>
          <w:rFonts w:cs="Arial"/>
          <w:bCs/>
        </w:rPr>
        <w:t xml:space="preserve"> Ponadto, zgodnie z punktem </w:t>
      </w:r>
      <w:r w:rsidR="00FA760D" w:rsidRPr="00FA760D">
        <w:rPr>
          <w:rFonts w:cs="Arial"/>
          <w:bCs/>
        </w:rPr>
        <w:t xml:space="preserve">8 w podrozdziale 3.5 Wytycznych dot. kwalifikowalności, właściwa instytucja </w:t>
      </w:r>
      <w:r w:rsidR="00FA760D" w:rsidRPr="00FA760D">
        <w:rPr>
          <w:rFonts w:cs="Arial"/>
        </w:rPr>
        <w:t>może wyłączyć możliwość kwalifikowania podatku</w:t>
      </w:r>
      <w:r w:rsidR="00FA760D">
        <w:rPr>
          <w:rFonts w:cs="Arial"/>
        </w:rPr>
        <w:t xml:space="preserve"> od towarów i usług</w:t>
      </w:r>
      <w:r w:rsidR="00FA760D" w:rsidRPr="00FA760D">
        <w:rPr>
          <w:rFonts w:cs="Arial"/>
        </w:rPr>
        <w:t xml:space="preserve"> </w:t>
      </w:r>
      <w:r w:rsidR="00FA760D">
        <w:rPr>
          <w:rFonts w:cs="Arial"/>
        </w:rPr>
        <w:t>(</w:t>
      </w:r>
      <w:r w:rsidR="00FA760D" w:rsidRPr="00FA760D">
        <w:rPr>
          <w:rFonts w:cs="Arial"/>
        </w:rPr>
        <w:t>VAT</w:t>
      </w:r>
      <w:r w:rsidR="00FA760D">
        <w:rPr>
          <w:rFonts w:cs="Arial"/>
        </w:rPr>
        <w:t>)</w:t>
      </w:r>
      <w:r w:rsidR="00FA760D" w:rsidRPr="00FA760D">
        <w:rPr>
          <w:rFonts w:cs="Arial"/>
        </w:rPr>
        <w:t xml:space="preserve"> w SZOP, regulaminie wyboru projektów lub umowie </w:t>
      </w:r>
      <w:r w:rsidR="009D10CD">
        <w:rPr>
          <w:rFonts w:cs="Arial"/>
        </w:rPr>
        <w:br/>
      </w:r>
      <w:r w:rsidR="00FA760D" w:rsidRPr="00FA760D">
        <w:rPr>
          <w:rFonts w:cs="Arial"/>
        </w:rPr>
        <w:t>o dofinansowanie projektu.</w:t>
      </w:r>
    </w:p>
    <w:p w14:paraId="7533B28F" w14:textId="45F2A691" w:rsidR="00E17BBE" w:rsidRDefault="00E17BBE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Na tej podstawie </w:t>
      </w:r>
      <w:r w:rsidR="005D59E4">
        <w:rPr>
          <w:rFonts w:cs="Arial"/>
        </w:rPr>
        <w:t>przyjęt</w:t>
      </w:r>
      <w:r w:rsidR="004E7A0F">
        <w:rPr>
          <w:rFonts w:cs="Arial"/>
        </w:rPr>
        <w:t>o zasadę</w:t>
      </w:r>
      <w:r>
        <w:rPr>
          <w:rFonts w:cs="Arial"/>
        </w:rPr>
        <w:t>, że Instytucja Zarządzająca FEP</w:t>
      </w:r>
      <w:r w:rsidR="00F63FA1">
        <w:rPr>
          <w:rFonts w:cs="Arial"/>
        </w:rPr>
        <w:t xml:space="preserve"> albo instyt</w:t>
      </w:r>
      <w:r w:rsidR="009D718A">
        <w:rPr>
          <w:rFonts w:cs="Arial"/>
        </w:rPr>
        <w:t>ucja pośrednicząca</w:t>
      </w:r>
      <w:r>
        <w:rPr>
          <w:rFonts w:cs="Arial"/>
        </w:rPr>
        <w:t xml:space="preserve"> skorzysta z tego prawa i w regulaminach wyboru projektów określi, że podatek od towarów i usług będzie </w:t>
      </w:r>
      <w:r w:rsidR="005D59E4">
        <w:rPr>
          <w:rFonts w:cs="Arial"/>
        </w:rPr>
        <w:t xml:space="preserve">wydatkiem niekwalifikowalnym. </w:t>
      </w:r>
      <w:r w:rsidR="009724C3">
        <w:rPr>
          <w:rFonts w:cs="Arial"/>
        </w:rPr>
        <w:t>Ma to na celu usprawnienie systemu wdrażania regionalnego programu, aby dać czas przyszłym wnioskodawcom i beneficjentom na przygotowanie się do zasad kwalifikowalności, które będą stosowane w przyszłych naborach.</w:t>
      </w:r>
    </w:p>
    <w:p w14:paraId="133A71A3" w14:textId="42C78C8A" w:rsidR="005D59E4" w:rsidRDefault="005D59E4" w:rsidP="003E3335">
      <w:pPr>
        <w:autoSpaceDE w:val="0"/>
        <w:autoSpaceDN w:val="0"/>
        <w:adjustRightInd w:val="0"/>
        <w:spacing w:after="120" w:line="276" w:lineRule="auto"/>
        <w:rPr>
          <w:rFonts w:cs="Arial"/>
          <w:szCs w:val="20"/>
        </w:rPr>
      </w:pPr>
      <w:r>
        <w:rPr>
          <w:rFonts w:cs="Arial"/>
        </w:rPr>
        <w:t xml:space="preserve">Podyktowane jest to kilkoma względami. Po pierwsze, pożądanym jest, aby różnego rodzaju obiekty, które powstaną dzięki dofinansowaniu z FEP, miały możliwość samodzielnego utrzymywania się. To oznacza, że </w:t>
      </w:r>
      <w:r w:rsidR="00FD188E">
        <w:rPr>
          <w:rFonts w:cs="Arial"/>
        </w:rPr>
        <w:t>od beneficjenta lub późniejszego operatora infrastruktury</w:t>
      </w:r>
      <w:r w:rsidR="002655CA">
        <w:rPr>
          <w:rFonts w:cs="Arial"/>
        </w:rPr>
        <w:t xml:space="preserve"> </w:t>
      </w:r>
      <w:r w:rsidR="00FD188E">
        <w:rPr>
          <w:rFonts w:cs="Arial"/>
        </w:rPr>
        <w:t xml:space="preserve">powstałej w wyniku realizacji projektu </w:t>
      </w:r>
      <w:r w:rsidR="002655CA">
        <w:rPr>
          <w:rFonts w:cs="Arial"/>
        </w:rPr>
        <w:t xml:space="preserve">(czyli także jej najemcę czy dzierżawcę) </w:t>
      </w:r>
      <w:r w:rsidR="00FD188E">
        <w:rPr>
          <w:rFonts w:cs="Arial"/>
        </w:rPr>
        <w:t>powinno oczekiwać się większej aktywności, często rozumianej jako prowadzenie działalności</w:t>
      </w:r>
      <w:r w:rsidR="002B6080">
        <w:rPr>
          <w:rFonts w:cs="Arial"/>
        </w:rPr>
        <w:t>, w ramach której pobiera się opłaty od użytkowników infrastruktury</w:t>
      </w:r>
      <w:r w:rsidR="00FD188E">
        <w:rPr>
          <w:rFonts w:cs="Arial"/>
        </w:rPr>
        <w:t xml:space="preserve">. Powinna </w:t>
      </w:r>
      <w:r>
        <w:rPr>
          <w:rFonts w:cs="Arial"/>
        </w:rPr>
        <w:t>być ta</w:t>
      </w:r>
      <w:r w:rsidR="008C29FA">
        <w:rPr>
          <w:rFonts w:cs="Arial"/>
        </w:rPr>
        <w:t>m</w:t>
      </w:r>
      <w:r>
        <w:rPr>
          <w:rFonts w:cs="Arial"/>
        </w:rPr>
        <w:t xml:space="preserve"> </w:t>
      </w:r>
      <w:r w:rsidR="00FD188E">
        <w:rPr>
          <w:rFonts w:cs="Arial"/>
        </w:rPr>
        <w:t xml:space="preserve">zatem </w:t>
      </w:r>
      <w:r>
        <w:rPr>
          <w:rFonts w:cs="Arial"/>
        </w:rPr>
        <w:t xml:space="preserve">prowadzona </w:t>
      </w:r>
      <w:r w:rsidR="001C2AFA">
        <w:rPr>
          <w:rFonts w:cs="Arial"/>
        </w:rPr>
        <w:t xml:space="preserve">choćby w </w:t>
      </w:r>
      <w:r w:rsidR="009D718A">
        <w:rPr>
          <w:rFonts w:cs="Arial"/>
        </w:rPr>
        <w:t xml:space="preserve">niewielkim, ubocznym </w:t>
      </w:r>
      <w:r w:rsidR="009D718A">
        <w:rPr>
          <w:rFonts w:cs="Arial"/>
        </w:rPr>
        <w:lastRenderedPageBreak/>
        <w:t xml:space="preserve">zakresie, </w:t>
      </w:r>
      <w:r>
        <w:rPr>
          <w:rFonts w:cs="Arial"/>
        </w:rPr>
        <w:t>działalność gospodarcza</w:t>
      </w:r>
      <w:r w:rsidR="009D718A">
        <w:rPr>
          <w:rFonts w:cs="Arial"/>
        </w:rPr>
        <w:t xml:space="preserve"> definiowana jako oferowanie towarów lub usług na rynku, nawet jeśli nie jest nastawiona na osiągnięcie zysku</w:t>
      </w:r>
      <w:r w:rsidR="00FD188E">
        <w:rPr>
          <w:rFonts w:cs="Arial"/>
        </w:rPr>
        <w:t>, czyli w szerokim rozumieniu wynikającym z prawa UE</w:t>
      </w:r>
      <w:r>
        <w:rPr>
          <w:rFonts w:cs="Arial"/>
        </w:rPr>
        <w:t xml:space="preserve">. To z kolei wiąże się z faktem, że zasadniczo dofinansowanie takich projektów będzie stanowiło pomoc publiczną. Z przepisów dotyczących pomocy publicznej wynika zaś, że VAT może być kosztem kwalifikowalnym tylko wtedy, gdy – niezależnie od wartości projektu (czyli jego łącznego kosztu) – </w:t>
      </w:r>
      <w:r w:rsidRPr="000D2285">
        <w:rPr>
          <w:rFonts w:cs="Arial"/>
          <w:szCs w:val="20"/>
        </w:rPr>
        <w:t xml:space="preserve">brak jest prawnej możliwości odzyskania </w:t>
      </w:r>
      <w:r w:rsidR="008C29FA">
        <w:rPr>
          <w:rFonts w:cs="Arial"/>
          <w:szCs w:val="20"/>
        </w:rPr>
        <w:t>go</w:t>
      </w:r>
      <w:r w:rsidRPr="000D2285">
        <w:rPr>
          <w:rFonts w:cs="Arial"/>
          <w:szCs w:val="20"/>
        </w:rPr>
        <w:t xml:space="preserve"> zgodnie z przepisami prawa krajowego</w:t>
      </w:r>
      <w:r>
        <w:rPr>
          <w:rFonts w:cs="Arial"/>
          <w:szCs w:val="20"/>
        </w:rPr>
        <w:t>.</w:t>
      </w:r>
      <w:r w:rsidR="00AE2851">
        <w:rPr>
          <w:rFonts w:cs="Arial"/>
          <w:szCs w:val="20"/>
        </w:rPr>
        <w:t xml:space="preserve"> Natomiast w przypadku pro</w:t>
      </w:r>
      <w:r w:rsidR="00AE2851" w:rsidRPr="007B2F5B">
        <w:rPr>
          <w:rFonts w:cs="Arial"/>
          <w:szCs w:val="20"/>
        </w:rPr>
        <w:t xml:space="preserve">wadzenia działalności </w:t>
      </w:r>
      <w:r w:rsidR="00DA217F" w:rsidRPr="007B2F5B">
        <w:rPr>
          <w:rFonts w:cs="Arial"/>
          <w:szCs w:val="20"/>
        </w:rPr>
        <w:t xml:space="preserve">odpłatnej </w:t>
      </w:r>
      <w:r w:rsidR="00AE2851" w:rsidRPr="007B2F5B">
        <w:rPr>
          <w:rFonts w:cs="Arial"/>
          <w:szCs w:val="20"/>
        </w:rPr>
        <w:t>zasadniczo taka</w:t>
      </w:r>
      <w:r w:rsidR="00AE2851">
        <w:rPr>
          <w:rFonts w:cs="Arial"/>
          <w:szCs w:val="20"/>
        </w:rPr>
        <w:t xml:space="preserve"> możliwość odzyskania VAT będzie istniała, zatem byłby on kosztem niekwalifikowalnym.</w:t>
      </w:r>
    </w:p>
    <w:p w14:paraId="684F7B7B" w14:textId="00FCA924" w:rsidR="00AE2851" w:rsidRDefault="00AE2851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Poza tym, obecnie zagadnienie kwalifikowalności VAT jest bardzo skomplikowane</w:t>
      </w:r>
      <w:r w:rsidR="00AB5AC4">
        <w:rPr>
          <w:rFonts w:cs="Arial"/>
        </w:rPr>
        <w:t xml:space="preserve">, a wkład pracy </w:t>
      </w:r>
      <w:r w:rsidR="00341416">
        <w:rPr>
          <w:rFonts w:cs="Arial"/>
        </w:rPr>
        <w:t xml:space="preserve">tak </w:t>
      </w:r>
      <w:r w:rsidR="00AB5AC4">
        <w:rPr>
          <w:rFonts w:cs="Arial"/>
        </w:rPr>
        <w:t xml:space="preserve">po stronie beneficjenta, jak i </w:t>
      </w:r>
      <w:r w:rsidR="00341416">
        <w:rPr>
          <w:rFonts w:cs="Arial"/>
        </w:rPr>
        <w:t>I</w:t>
      </w:r>
      <w:r w:rsidR="00AB5AC4">
        <w:rPr>
          <w:rFonts w:cs="Arial"/>
        </w:rPr>
        <w:t xml:space="preserve">nstytucji </w:t>
      </w:r>
      <w:r w:rsidR="00341416">
        <w:rPr>
          <w:rFonts w:cs="Arial"/>
        </w:rPr>
        <w:t>Z</w:t>
      </w:r>
      <w:r w:rsidR="00AB5AC4">
        <w:rPr>
          <w:rFonts w:cs="Arial"/>
        </w:rPr>
        <w:t>arządzającej lub</w:t>
      </w:r>
      <w:r w:rsidR="00341416">
        <w:rPr>
          <w:rFonts w:cs="Arial"/>
        </w:rPr>
        <w:t xml:space="preserve"> instytucji</w:t>
      </w:r>
      <w:r w:rsidR="00AB5AC4">
        <w:rPr>
          <w:rFonts w:cs="Arial"/>
        </w:rPr>
        <w:t xml:space="preserve"> pośrednicząc</w:t>
      </w:r>
      <w:r w:rsidR="00341416">
        <w:rPr>
          <w:rFonts w:cs="Arial"/>
        </w:rPr>
        <w:t>ych</w:t>
      </w:r>
      <w:r w:rsidR="00AB5AC4">
        <w:rPr>
          <w:rFonts w:cs="Arial"/>
        </w:rPr>
        <w:t xml:space="preserve">, który jest potrzebny do </w:t>
      </w:r>
      <w:r w:rsidR="00FF5BD9">
        <w:rPr>
          <w:rFonts w:cs="Arial"/>
        </w:rPr>
        <w:t>prawidłowego rozliczenia tego kosztu, jest nieproporcjonalny do możliwych do uzyskania korzyści</w:t>
      </w:r>
      <w:r>
        <w:rPr>
          <w:rFonts w:cs="Arial"/>
        </w:rPr>
        <w:t xml:space="preserve">. </w:t>
      </w:r>
      <w:r w:rsidR="009724C3">
        <w:rPr>
          <w:rFonts w:cs="Arial"/>
        </w:rPr>
        <w:t>Inne są</w:t>
      </w:r>
      <w:r w:rsidR="00FF5BD9">
        <w:rPr>
          <w:rFonts w:cs="Arial"/>
        </w:rPr>
        <w:t xml:space="preserve"> bowiem</w:t>
      </w:r>
      <w:r w:rsidR="009724C3">
        <w:rPr>
          <w:rFonts w:cs="Arial"/>
        </w:rPr>
        <w:t xml:space="preserve"> zasady jego kwalifikowalności</w:t>
      </w:r>
      <w:r w:rsidR="00FF5BD9">
        <w:rPr>
          <w:rFonts w:cs="Arial"/>
        </w:rPr>
        <w:t xml:space="preserve"> VAT</w:t>
      </w:r>
      <w:r w:rsidR="009724C3">
        <w:rPr>
          <w:rFonts w:cs="Arial"/>
        </w:rPr>
        <w:t xml:space="preserve"> dla projektów, </w:t>
      </w:r>
      <w:r w:rsidR="009724C3" w:rsidRPr="000D2285">
        <w:rPr>
          <w:rFonts w:cs="Arial"/>
          <w:szCs w:val="20"/>
        </w:rPr>
        <w:t>któr</w:t>
      </w:r>
      <w:r w:rsidR="009724C3">
        <w:rPr>
          <w:rFonts w:cs="Arial"/>
          <w:szCs w:val="20"/>
        </w:rPr>
        <w:t>ych</w:t>
      </w:r>
      <w:r w:rsidR="009724C3" w:rsidRPr="000D2285">
        <w:rPr>
          <w:rFonts w:cs="Arial"/>
          <w:szCs w:val="20"/>
        </w:rPr>
        <w:t xml:space="preserve"> łączny koszt jest mniejszy niż 5 mln EUR (włączając VAT)</w:t>
      </w:r>
      <w:r w:rsidR="009724C3">
        <w:rPr>
          <w:rFonts w:cs="Arial"/>
          <w:szCs w:val="20"/>
        </w:rPr>
        <w:t>, a inne dla projektów przekraczających ten próg.</w:t>
      </w:r>
      <w:r w:rsidR="009724C3">
        <w:rPr>
          <w:rFonts w:cs="Arial"/>
        </w:rPr>
        <w:t xml:space="preserve"> </w:t>
      </w:r>
      <w:r>
        <w:rPr>
          <w:rFonts w:cs="Arial"/>
        </w:rPr>
        <w:t xml:space="preserve">Dodatkowo, to, czy </w:t>
      </w:r>
      <w:r w:rsidR="009D10CD">
        <w:rPr>
          <w:rFonts w:cs="Arial"/>
        </w:rPr>
        <w:br/>
      </w:r>
      <w:r>
        <w:rPr>
          <w:rFonts w:cs="Arial"/>
        </w:rPr>
        <w:t>w danym przypadku VAT jest kwalifikowalny, może się zmieniać w czasie</w:t>
      </w:r>
      <w:r w:rsidR="009724C3">
        <w:rPr>
          <w:rFonts w:cs="Arial"/>
        </w:rPr>
        <w:t xml:space="preserve">, co wymaga </w:t>
      </w:r>
      <w:r w:rsidR="00AB31D3">
        <w:rPr>
          <w:rFonts w:cs="Arial"/>
        </w:rPr>
        <w:t>od beneficjentów stałego, skrupulatnego monitorowania tej kwestii, eksponuje ich na ryzyko zmiany kursu PLN/EUR i może doprowadzić do tego, że beneficjent będzie miał obowiązek zwrócić z</w:t>
      </w:r>
      <w:r w:rsidR="00AB31D3" w:rsidRPr="000D2285">
        <w:rPr>
          <w:rFonts w:cs="Arial"/>
          <w:szCs w:val="20"/>
        </w:rPr>
        <w:t>refundowan</w:t>
      </w:r>
      <w:r w:rsidR="00AB31D3">
        <w:rPr>
          <w:rFonts w:cs="Arial"/>
          <w:szCs w:val="20"/>
        </w:rPr>
        <w:t>ą</w:t>
      </w:r>
      <w:r w:rsidR="00AB31D3" w:rsidRPr="000D2285">
        <w:rPr>
          <w:rFonts w:cs="Arial"/>
          <w:szCs w:val="20"/>
        </w:rPr>
        <w:t xml:space="preserve"> ze środków unijnych częś</w:t>
      </w:r>
      <w:r w:rsidR="00AB31D3">
        <w:rPr>
          <w:rFonts w:cs="Arial"/>
          <w:szCs w:val="20"/>
        </w:rPr>
        <w:t>ć</w:t>
      </w:r>
      <w:r w:rsidR="00AB31D3" w:rsidRPr="000D2285">
        <w:rPr>
          <w:rFonts w:cs="Arial"/>
          <w:szCs w:val="20"/>
        </w:rPr>
        <w:t xml:space="preserve"> VAT, jeżeli zaistnieją przesłanki umożliwiające odzyskanie tego podatku</w:t>
      </w:r>
      <w:r>
        <w:rPr>
          <w:rFonts w:cs="Arial"/>
        </w:rPr>
        <w:t xml:space="preserve">. Dlatego też przyjęcie </w:t>
      </w:r>
      <w:r w:rsidR="004E7A0F">
        <w:rPr>
          <w:rFonts w:cs="Arial"/>
        </w:rPr>
        <w:t>zasady</w:t>
      </w:r>
      <w:r>
        <w:rPr>
          <w:rFonts w:cs="Arial"/>
        </w:rPr>
        <w:t>, że VAT zawsze będzie kosztem niekwalifikowalnym</w:t>
      </w:r>
      <w:r w:rsidR="000D701F">
        <w:rPr>
          <w:rFonts w:cs="Arial"/>
        </w:rPr>
        <w:t>,</w:t>
      </w:r>
      <w:r>
        <w:rPr>
          <w:rFonts w:cs="Arial"/>
        </w:rPr>
        <w:t xml:space="preserve"> jest znaczącym uproszczeniem dla przyszłych wnioskodawców i beneficjentów. Dzięki temu uproszczeniu zmniejszy się ryzyko, że wnioskodawcy lub beneficjenci popełnią błąd w tym zakresie, a co za tym idzie – zmniejszy się też ryzyko dotkliwych konsekwencji finansowych dla tych podmiotów. Co więcej, dzięki temu uproszczeniu administracyjnemu</w:t>
      </w:r>
      <w:r w:rsidR="00AB31D3">
        <w:rPr>
          <w:rFonts w:cs="Arial"/>
        </w:rPr>
        <w:t xml:space="preserve"> dla beneficjentów</w:t>
      </w:r>
      <w:r w:rsidR="000608D8">
        <w:rPr>
          <w:rFonts w:cs="Arial"/>
        </w:rPr>
        <w:t>,</w:t>
      </w:r>
      <w:r w:rsidR="00AB31D3">
        <w:rPr>
          <w:rFonts w:cs="Arial"/>
        </w:rPr>
        <w:t xml:space="preserve"> przygotowanie wniosków o płatność będzie znacznie szybsze i prostsze, a więc obarczone mniejszym ryzykiem błędu, a</w:t>
      </w:r>
      <w:r>
        <w:rPr>
          <w:rFonts w:cs="Arial"/>
        </w:rPr>
        <w:t xml:space="preserve"> Instytucja Zarządzająca i instytucje pośredniczące będą mogły </w:t>
      </w:r>
      <w:r w:rsidR="002C79AB">
        <w:rPr>
          <w:rFonts w:cs="Arial"/>
        </w:rPr>
        <w:t>sprawniej</w:t>
      </w:r>
      <w:r w:rsidR="00AB31D3">
        <w:rPr>
          <w:rFonts w:cs="Arial"/>
        </w:rPr>
        <w:t xml:space="preserve"> je</w:t>
      </w:r>
      <w:r>
        <w:rPr>
          <w:rFonts w:cs="Arial"/>
        </w:rPr>
        <w:t xml:space="preserve"> rozliczać</w:t>
      </w:r>
      <w:r w:rsidR="00AB31D3">
        <w:rPr>
          <w:rFonts w:cs="Arial"/>
        </w:rPr>
        <w:t xml:space="preserve">. </w:t>
      </w:r>
      <w:r w:rsidR="009D10CD">
        <w:rPr>
          <w:rFonts w:cs="Arial"/>
        </w:rPr>
        <w:br/>
      </w:r>
      <w:r w:rsidR="00AB31D3">
        <w:rPr>
          <w:rFonts w:cs="Arial"/>
        </w:rPr>
        <w:t>Z kolei</w:t>
      </w:r>
      <w:r>
        <w:rPr>
          <w:rFonts w:cs="Arial"/>
        </w:rPr>
        <w:t xml:space="preserve"> przez </w:t>
      </w:r>
      <w:r w:rsidR="00AB31D3">
        <w:rPr>
          <w:rFonts w:cs="Arial"/>
        </w:rPr>
        <w:t>t</w:t>
      </w:r>
      <w:r>
        <w:rPr>
          <w:rFonts w:cs="Arial"/>
        </w:rPr>
        <w:t xml:space="preserve">o środki będą szybciej trafiały do beneficjentów. </w:t>
      </w:r>
      <w:r w:rsidR="00AB5AC4">
        <w:rPr>
          <w:rFonts w:cs="Arial"/>
        </w:rPr>
        <w:t>Zasada ta wpisuje się zatem w jeden z celów wynikających z Rozporządzenia ogólnego, jakim jest „</w:t>
      </w:r>
      <w:r w:rsidR="00AB5AC4">
        <w:t>uproszczenie wykorzystania Funduszy oraz ograniczenie ryzyka błędu”.</w:t>
      </w:r>
    </w:p>
    <w:p w14:paraId="576BA331" w14:textId="02446E3D" w:rsidR="00FA760D" w:rsidRDefault="00457938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Tak znaczące uproszczenie będzie miało istotny wpływ na osiągnięcie niezbędnego poziomu zaksięgowanych do </w:t>
      </w:r>
      <w:r w:rsidR="008F6120">
        <w:rPr>
          <w:rFonts w:cs="Arial"/>
        </w:rPr>
        <w:t>K</w:t>
      </w:r>
      <w:r>
        <w:rPr>
          <w:rFonts w:cs="Arial"/>
        </w:rPr>
        <w:t>omisji Europejskiej wydatków, czyli spełnienie zasady n+3</w:t>
      </w:r>
      <w:r w:rsidR="006437BE">
        <w:rPr>
          <w:rFonts w:cs="Arial"/>
        </w:rPr>
        <w:t>.</w:t>
      </w:r>
      <w:r>
        <w:rPr>
          <w:rFonts w:cs="Arial"/>
        </w:rPr>
        <w:t xml:space="preserve"> </w:t>
      </w:r>
    </w:p>
    <w:p w14:paraId="13176C0A" w14:textId="3D48ACCE" w:rsidR="00FA760D" w:rsidRDefault="00FA760D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Mając to na względzie, przyjęcie tej zasady jako promującej efektywne zarządzanie projektami i stanowiącej uproszczenie administracyjne jest korzystne dla zainteresowanych podmiotów i uzasadnione.</w:t>
      </w:r>
    </w:p>
    <w:p w14:paraId="169D540A" w14:textId="7BFE5BA4" w:rsidR="008E37F0" w:rsidRPr="005A6ED4" w:rsidRDefault="0090389E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W drodze wyjątku </w:t>
      </w:r>
      <w:r w:rsidR="002B6D5A" w:rsidRPr="00FF2681">
        <w:rPr>
          <w:rFonts w:cs="Arial"/>
        </w:rPr>
        <w:t>podatek od towarów i usług (VAT</w:t>
      </w:r>
      <w:r w:rsidR="002B6D5A">
        <w:rPr>
          <w:rFonts w:cs="Arial"/>
        </w:rPr>
        <w:t>) będzie</w:t>
      </w:r>
      <w:r w:rsidR="002B6D5A" w:rsidRPr="00FF2681">
        <w:rPr>
          <w:rFonts w:cs="Arial"/>
        </w:rPr>
        <w:t xml:space="preserve"> kwalifikowaln</w:t>
      </w:r>
      <w:r w:rsidR="002B6D5A">
        <w:rPr>
          <w:rFonts w:cs="Arial"/>
        </w:rPr>
        <w:t>y</w:t>
      </w:r>
      <w:r w:rsidR="002B6D5A" w:rsidRPr="00FF2681">
        <w:rPr>
          <w:rFonts w:cs="Arial"/>
        </w:rPr>
        <w:t xml:space="preserve"> na zasadach </w:t>
      </w:r>
      <w:r w:rsidR="002B6D5A" w:rsidRPr="00176876">
        <w:rPr>
          <w:rFonts w:cs="Arial"/>
        </w:rPr>
        <w:t>ogólnych</w:t>
      </w:r>
      <w:r w:rsidR="002B6D5A" w:rsidRPr="000608D8">
        <w:rPr>
          <w:rFonts w:cs="Arial"/>
        </w:rPr>
        <w:t>,</w:t>
      </w:r>
      <w:r w:rsidR="002B6D5A">
        <w:rPr>
          <w:rFonts w:cs="Arial"/>
        </w:rPr>
        <w:t xml:space="preserve"> wynikających z przepisów powszechnie obowiązującego prawa oraz wytycznych </w:t>
      </w:r>
      <w:r w:rsidR="002B6D5A" w:rsidRPr="00176876">
        <w:rPr>
          <w:rFonts w:cs="Arial"/>
        </w:rPr>
        <w:t>ministra właściwego do spraw rozwoju regionalnego</w:t>
      </w:r>
      <w:r w:rsidR="002B6D5A">
        <w:rPr>
          <w:rFonts w:cs="Arial"/>
        </w:rPr>
        <w:t xml:space="preserve">, w sytuacjach, w których ma to uzasadnienie ze względu na specyfikę obszarów wsparcia i sposób wdrażania danych instrumentów. </w:t>
      </w:r>
    </w:p>
    <w:p w14:paraId="79391C8D" w14:textId="5AF0C795" w:rsidR="005A6ED4" w:rsidRDefault="00AE2851" w:rsidP="003E33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Niekwalifikowalność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0A6A50">
        <w:rPr>
          <w:rFonts w:ascii="Arial" w:hAnsi="Arial" w:cs="Arial"/>
          <w:b/>
          <w:sz w:val="24"/>
          <w:szCs w:val="24"/>
        </w:rPr>
        <w:t xml:space="preserve">niektórych </w:t>
      </w:r>
      <w:r w:rsidR="000A4BC0">
        <w:rPr>
          <w:rFonts w:ascii="Arial" w:hAnsi="Arial" w:cs="Arial"/>
          <w:b/>
          <w:sz w:val="24"/>
          <w:szCs w:val="24"/>
        </w:rPr>
        <w:t>kosztów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A4BC0">
        <w:rPr>
          <w:rFonts w:ascii="Arial" w:hAnsi="Arial" w:cs="Arial"/>
          <w:b/>
          <w:sz w:val="24"/>
          <w:szCs w:val="24"/>
        </w:rPr>
        <w:t xml:space="preserve">w ramach kosztów pośrednich </w:t>
      </w:r>
    </w:p>
    <w:p w14:paraId="38A6D43F" w14:textId="3607977F" w:rsidR="00DE41A3" w:rsidRDefault="00DE41A3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lastRenderedPageBreak/>
        <w:t>Z punktu 1 w podrozdziale 3.12 Wytycznych dot. kwalifikowalności wynika, że ko</w:t>
      </w:r>
      <w:r w:rsidRPr="003E4B85">
        <w:rPr>
          <w:rFonts w:cs="Arial"/>
        </w:rPr>
        <w:t>szty pośrednie projektu są kwalifikowalne</w:t>
      </w:r>
      <w:r w:rsidR="002C79AB">
        <w:rPr>
          <w:rFonts w:cs="Arial"/>
        </w:rPr>
        <w:t>,</w:t>
      </w:r>
      <w:r w:rsidRPr="003E4B85">
        <w:rPr>
          <w:rFonts w:cs="Arial"/>
        </w:rPr>
        <w:t xml:space="preserve"> chyba że co innego stanowią program, SZOP, </w:t>
      </w:r>
      <w:r w:rsidRPr="00620C19">
        <w:rPr>
          <w:rFonts w:cs="Arial"/>
          <w:iCs/>
        </w:rPr>
        <w:t>Wytyczne</w:t>
      </w:r>
      <w:r>
        <w:rPr>
          <w:rFonts w:cs="Arial"/>
          <w:iCs/>
        </w:rPr>
        <w:t xml:space="preserve"> dot. kwalifikowalności</w:t>
      </w:r>
      <w:r w:rsidRPr="003E4B85">
        <w:rPr>
          <w:rFonts w:cs="Arial"/>
        </w:rPr>
        <w:t xml:space="preserve">, inne wytyczne, regulamin wyboru projektów lub umowa </w:t>
      </w:r>
      <w:r w:rsidR="009D10CD">
        <w:rPr>
          <w:rFonts w:cs="Arial"/>
        </w:rPr>
        <w:br/>
      </w:r>
      <w:r w:rsidRPr="003E4B85">
        <w:rPr>
          <w:rFonts w:cs="Arial"/>
        </w:rPr>
        <w:t>o dofinansowanie projektu</w:t>
      </w:r>
      <w:r>
        <w:rPr>
          <w:rFonts w:cs="Arial"/>
        </w:rPr>
        <w:t xml:space="preserve">. Z kolei z punktu 2 w tym samym podrozdziale wynika, że katalog kosztów pośrednich projektów definiuje Instytucja Zarządzająca. </w:t>
      </w:r>
    </w:p>
    <w:p w14:paraId="293A1F1B" w14:textId="403E87FE" w:rsidR="000A4BC0" w:rsidRDefault="000A4BC0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Na tej podstawie przyjęto </w:t>
      </w:r>
      <w:r w:rsidR="004E7A0F">
        <w:rPr>
          <w:rFonts w:cs="Arial"/>
        </w:rPr>
        <w:t>zasadę</w:t>
      </w:r>
      <w:r>
        <w:rPr>
          <w:rFonts w:cs="Arial"/>
        </w:rPr>
        <w:t xml:space="preserve">, że w ramach kosztów pośrednich projektu niekwalifikowalne będą koszty zaangażowania personelu, w zakresie wymienionym </w:t>
      </w:r>
      <w:r w:rsidR="009D10CD">
        <w:rPr>
          <w:rFonts w:cs="Arial"/>
        </w:rPr>
        <w:br/>
      </w:r>
      <w:r>
        <w:rPr>
          <w:rFonts w:cs="Arial"/>
        </w:rPr>
        <w:t>w niniejszej uchwale</w:t>
      </w:r>
      <w:r w:rsidR="005841FF">
        <w:rPr>
          <w:rFonts w:cs="Arial"/>
        </w:rPr>
        <w:t xml:space="preserve"> oraz koszty pośrednie związane z utrzymaniem powierzchni biurowych, prowadzenia rachunków bankowych i opłat za szeroko rozumianą dostawę </w:t>
      </w:r>
      <w:r w:rsidR="009D10CD">
        <w:rPr>
          <w:rFonts w:cs="Arial"/>
        </w:rPr>
        <w:br/>
      </w:r>
      <w:r w:rsidR="005841FF">
        <w:rPr>
          <w:rFonts w:cs="Arial"/>
        </w:rPr>
        <w:t>i zużycie nośników energii i opłat telekomunikacyjnych</w:t>
      </w:r>
      <w:r w:rsidR="000A6A50">
        <w:rPr>
          <w:rFonts w:cs="Arial"/>
        </w:rPr>
        <w:t>,</w:t>
      </w:r>
      <w:r w:rsidR="005841FF">
        <w:rPr>
          <w:rFonts w:cs="Arial"/>
        </w:rPr>
        <w:t xml:space="preserve"> w tym dostawę Internetu</w:t>
      </w:r>
      <w:r w:rsidR="000A6A50">
        <w:rPr>
          <w:rFonts w:cs="Arial"/>
        </w:rPr>
        <w:t>.</w:t>
      </w:r>
    </w:p>
    <w:p w14:paraId="2EE4A8C7" w14:textId="21E269C6" w:rsidR="00872AD2" w:rsidRDefault="001D73D2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Podyktowane to jest </w:t>
      </w:r>
      <w:r w:rsidR="00FD44BB">
        <w:rPr>
          <w:rFonts w:cs="Arial"/>
        </w:rPr>
        <w:t>także chęcią dokonania uproszczeń administracyjnych i zmniejszenia ryzyka popełnienia przez beneficjentów błędów, które niosłyby dla nich konsekwencje finansowe. Jak bowiem pokazują dotychczasowe doświadczenia, właśnie w przypadku kosztów pośrednich w zakresie kosztów zaangażowania personelu</w:t>
      </w:r>
      <w:r w:rsidR="000A6A50">
        <w:rPr>
          <w:rFonts w:cs="Arial"/>
        </w:rPr>
        <w:t xml:space="preserve"> oraz niektórych innych kosztów wymienionych w uchwale,</w:t>
      </w:r>
      <w:r w:rsidR="00FD44BB">
        <w:rPr>
          <w:rFonts w:cs="Arial"/>
        </w:rPr>
        <w:t xml:space="preserve"> ryzyko to było istotne. Poza tym, dzięki temu uproszczeniu administracyjnemu</w:t>
      </w:r>
      <w:r w:rsidR="002C79AB">
        <w:rPr>
          <w:rFonts w:cs="Arial"/>
        </w:rPr>
        <w:t>,</w:t>
      </w:r>
      <w:r w:rsidR="00FD44BB">
        <w:rPr>
          <w:rFonts w:cs="Arial"/>
        </w:rPr>
        <w:t xml:space="preserve"> </w:t>
      </w:r>
      <w:r w:rsidR="00AB31D3">
        <w:rPr>
          <w:rFonts w:cs="Arial"/>
        </w:rPr>
        <w:t xml:space="preserve">dla beneficjentów przygotowanie wniosków o płatność będzie znacznie szybsze i prostsze, a więc obarczone mniejszym ryzykiem błędu, a Instytucja Zarządzająca i instytucje pośredniczące będą mogły sprawniej je rozliczać. </w:t>
      </w:r>
      <w:r w:rsidR="009D10CD">
        <w:rPr>
          <w:rFonts w:cs="Arial"/>
        </w:rPr>
        <w:br/>
      </w:r>
      <w:r w:rsidR="00AB31D3">
        <w:rPr>
          <w:rFonts w:cs="Arial"/>
        </w:rPr>
        <w:t>Z kolei przez to środki będą szybciej trafiały do beneficjentów.</w:t>
      </w:r>
    </w:p>
    <w:p w14:paraId="0D19D383" w14:textId="66FEF144" w:rsidR="005C22A2" w:rsidRDefault="005C22A2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Poza tym, ogólna pula środków w FEP będzie mniejsza niż w programach w poprzednich perspektywach finansowych, a oczekiwane efekty (także mierzone wskaźnikami) są ambitne, zatem uzasadnione jest, aby większość środków była przeznaczana na wydatki, które bezpośrednio prowadzą do osiągnięcia tych efektów.</w:t>
      </w:r>
    </w:p>
    <w:p w14:paraId="7DAB2578" w14:textId="3FCF1229" w:rsidR="00FD44BB" w:rsidRDefault="00FD44BB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Nie można też tracić z pola widzenia tego, że istotn</w:t>
      </w:r>
      <w:r w:rsidR="002C79AB">
        <w:rPr>
          <w:rFonts w:cs="Arial"/>
        </w:rPr>
        <w:t>ą</w:t>
      </w:r>
      <w:r>
        <w:rPr>
          <w:rFonts w:cs="Arial"/>
        </w:rPr>
        <w:t xml:space="preserve"> część beneficjentów FEP będą stanowiły podmioty publiczne, które będą realizować projekty w ramach swojej misji, na którą otrzymują środki publiczne. Stąd też uzasadnione jest, aby pokrywały one koszty swojego personelu </w:t>
      </w:r>
      <w:r w:rsidR="009909B8">
        <w:rPr>
          <w:rFonts w:cs="Arial"/>
        </w:rPr>
        <w:t xml:space="preserve">i inne koszty związane z bieżącym funkcjonowaniem projektu </w:t>
      </w:r>
      <w:r>
        <w:rPr>
          <w:rFonts w:cs="Arial"/>
        </w:rPr>
        <w:t xml:space="preserve">właśnie </w:t>
      </w:r>
      <w:r w:rsidR="009D10CD">
        <w:rPr>
          <w:rFonts w:cs="Arial"/>
        </w:rPr>
        <w:br/>
      </w:r>
      <w:r>
        <w:rPr>
          <w:rFonts w:cs="Arial"/>
        </w:rPr>
        <w:t>z tych środków.</w:t>
      </w:r>
    </w:p>
    <w:p w14:paraId="49A89322" w14:textId="565C18AB" w:rsidR="005C22A2" w:rsidRDefault="005C22A2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 xml:space="preserve">Ponadto, jak zostało to już wskazane, pożądanym jest, aby </w:t>
      </w:r>
      <w:r w:rsidR="000608D8">
        <w:rPr>
          <w:rFonts w:cs="Arial"/>
        </w:rPr>
        <w:t xml:space="preserve">w </w:t>
      </w:r>
      <w:r>
        <w:rPr>
          <w:rFonts w:cs="Arial"/>
        </w:rPr>
        <w:t xml:space="preserve">obiektach, które powstaną dzięki dofinansowaniu z FEP, była </w:t>
      </w:r>
      <w:r w:rsidR="0002027A">
        <w:rPr>
          <w:rFonts w:cs="Arial"/>
        </w:rPr>
        <w:t xml:space="preserve">prowadzona działalność, w ramach której pobiera się opłaty od użytkowników infrastruktury. Powinna być tam zatem prowadzona choćby w niewielkim, ubocznym zakresie, działalność gospodarcza definiowana jako oferowanie towarów lub usług na rynku, nawet jeśli nie jest nastawiona na osiągnięcie zysku, czyli </w:t>
      </w:r>
      <w:r w:rsidR="009D10CD">
        <w:rPr>
          <w:rFonts w:cs="Arial"/>
        </w:rPr>
        <w:br/>
      </w:r>
      <w:r w:rsidR="0002027A">
        <w:rPr>
          <w:rFonts w:cs="Arial"/>
        </w:rPr>
        <w:t xml:space="preserve">w szerokim rozumieniu wynikającym z prawa UE. </w:t>
      </w:r>
      <w:r>
        <w:rPr>
          <w:rFonts w:cs="Arial"/>
        </w:rPr>
        <w:t xml:space="preserve">To z kolei wiąże się z faktem, że zasadniczo dofinansowanie takich projektów będzie stanowiło pomoc publiczną. </w:t>
      </w:r>
      <w:r w:rsidR="009D10CD">
        <w:rPr>
          <w:rFonts w:cs="Arial"/>
        </w:rPr>
        <w:br/>
      </w:r>
      <w:r w:rsidR="000608D8">
        <w:rPr>
          <w:rFonts w:cs="Arial"/>
        </w:rPr>
        <w:t>W</w:t>
      </w:r>
      <w:r>
        <w:rPr>
          <w:rFonts w:cs="Arial"/>
        </w:rPr>
        <w:t xml:space="preserve"> przypadku wielu przeznaczań (rodzajów) pomocy publicznej koszty zaangażowania personelu</w:t>
      </w:r>
      <w:r w:rsidR="009909B8">
        <w:rPr>
          <w:rFonts w:cs="Arial"/>
        </w:rPr>
        <w:t xml:space="preserve"> </w:t>
      </w:r>
      <w:r>
        <w:rPr>
          <w:rFonts w:cs="Arial"/>
        </w:rPr>
        <w:t>do zarządzania i obsługi projektu</w:t>
      </w:r>
      <w:r w:rsidR="009909B8">
        <w:rPr>
          <w:rFonts w:cs="Arial"/>
        </w:rPr>
        <w:t>, jak również inne koszty związane z bieżącym funkcjonowaniem projektu</w:t>
      </w:r>
      <w:r w:rsidR="000D701F">
        <w:rPr>
          <w:rFonts w:cs="Arial"/>
        </w:rPr>
        <w:t>, jako koszty operacyjne, i tak byłyby niekwalifikowalne.</w:t>
      </w:r>
    </w:p>
    <w:p w14:paraId="48036A3C" w14:textId="680EA1CE" w:rsidR="00B76B9C" w:rsidRPr="00DE41A3" w:rsidRDefault="002B6D5A" w:rsidP="003E3335">
      <w:pPr>
        <w:autoSpaceDE w:val="0"/>
        <w:autoSpaceDN w:val="0"/>
        <w:adjustRightInd w:val="0"/>
        <w:spacing w:after="120" w:line="276" w:lineRule="auto"/>
        <w:rPr>
          <w:rFonts w:cs="Arial"/>
          <w:b/>
        </w:rPr>
      </w:pPr>
      <w:r>
        <w:rPr>
          <w:rFonts w:cs="Arial"/>
        </w:rPr>
        <w:t>W drodze wyjątku koszty pośrednie będą</w:t>
      </w:r>
      <w:r w:rsidRPr="00FF2681">
        <w:rPr>
          <w:rFonts w:cs="Arial"/>
        </w:rPr>
        <w:t xml:space="preserve"> kwalifikowaln</w:t>
      </w:r>
      <w:r>
        <w:rPr>
          <w:rFonts w:cs="Arial"/>
        </w:rPr>
        <w:t>e</w:t>
      </w:r>
      <w:r w:rsidRPr="00FF2681">
        <w:rPr>
          <w:rFonts w:cs="Arial"/>
        </w:rPr>
        <w:t xml:space="preserve"> na zasadach </w:t>
      </w:r>
      <w:r w:rsidRPr="00176876">
        <w:rPr>
          <w:rFonts w:cs="Arial"/>
        </w:rPr>
        <w:t>ogólnych</w:t>
      </w:r>
      <w:r w:rsidRPr="000608D8">
        <w:rPr>
          <w:rFonts w:cs="Arial"/>
        </w:rPr>
        <w:t>,</w:t>
      </w:r>
      <w:r>
        <w:rPr>
          <w:rFonts w:cs="Arial"/>
        </w:rPr>
        <w:t xml:space="preserve"> wynikających z przepisów powszechnie obowiązującego prawa oraz wytycznych </w:t>
      </w:r>
      <w:r w:rsidRPr="00176876">
        <w:rPr>
          <w:rFonts w:cs="Arial"/>
        </w:rPr>
        <w:t xml:space="preserve">ministra </w:t>
      </w:r>
      <w:r w:rsidRPr="00176876">
        <w:rPr>
          <w:rFonts w:cs="Arial"/>
        </w:rPr>
        <w:lastRenderedPageBreak/>
        <w:t>właściwego do spraw rozwoju regionalnego</w:t>
      </w:r>
      <w:r>
        <w:rPr>
          <w:rFonts w:cs="Arial"/>
        </w:rPr>
        <w:t xml:space="preserve">, w sytuacjach, w których ma to uzasadnienie ze względu na specyfikę obszarów wsparcia i sposób wdrażania danych instrumentów. </w:t>
      </w:r>
    </w:p>
    <w:p w14:paraId="6D9EE0F5" w14:textId="3C081F5B" w:rsidR="00AE2851" w:rsidRPr="005A6ED4" w:rsidRDefault="00FD44BB" w:rsidP="009269E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0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Wprowadzenie limitów co do niektórych wydatków związanych z zarządzaniem </w:t>
      </w:r>
      <w:r w:rsidR="009D10CD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i obsługą projektów</w:t>
      </w:r>
    </w:p>
    <w:p w14:paraId="7EDCFFF2" w14:textId="40D15308" w:rsidR="00CE1596" w:rsidRDefault="00CE1596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Z dotychczasowych doświadczeń wynika, że w przypadku niektórych wydatków związanych z zarządzaniem i obsługą projektów, takich jak nadzór inwestorski, nadzór autorski, inżynier kontraktu, inwestor zastępczy, zasadne jest wprowadzenie limitów. Podyktowane to jest chęcią zapewnienia, aby koszty zarządzania i obsługi projektów nie były nadmierne. Stąd też uzasadnion</w:t>
      </w:r>
      <w:r w:rsidR="004E7A0F">
        <w:rPr>
          <w:rFonts w:cs="Arial"/>
        </w:rPr>
        <w:t>a</w:t>
      </w:r>
      <w:r>
        <w:rPr>
          <w:rFonts w:cs="Arial"/>
        </w:rPr>
        <w:t xml:space="preserve"> jest </w:t>
      </w:r>
      <w:r w:rsidR="004E7A0F">
        <w:rPr>
          <w:rFonts w:cs="Arial"/>
        </w:rPr>
        <w:t>zasada</w:t>
      </w:r>
      <w:r>
        <w:rPr>
          <w:rFonts w:cs="Arial"/>
        </w:rPr>
        <w:t xml:space="preserve">, że koszty te będą ograniczone do limitów, których wysokość jest wymieniona w uchwale. </w:t>
      </w:r>
    </w:p>
    <w:p w14:paraId="2BBA494D" w14:textId="192A6312" w:rsidR="00FA760D" w:rsidRDefault="000608D8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W</w:t>
      </w:r>
      <w:r w:rsidR="00CE1596">
        <w:rPr>
          <w:rFonts w:cs="Arial"/>
        </w:rPr>
        <w:t>ysokość tych limitów wydatków wynika z dotychczasow</w:t>
      </w:r>
      <w:r>
        <w:rPr>
          <w:rFonts w:cs="Arial"/>
        </w:rPr>
        <w:t>ej praktyki i</w:t>
      </w:r>
      <w:r w:rsidR="00CE1596">
        <w:rPr>
          <w:rFonts w:cs="Arial"/>
        </w:rPr>
        <w:t xml:space="preserve"> doświadczeń. </w:t>
      </w:r>
    </w:p>
    <w:p w14:paraId="0DE568E4" w14:textId="4C8B7750" w:rsidR="00CE1596" w:rsidRPr="005A6ED4" w:rsidRDefault="004E7A0F" w:rsidP="003E333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Zasa</w:t>
      </w:r>
      <w:r w:rsidR="001A439A">
        <w:rPr>
          <w:rFonts w:ascii="Arial" w:hAnsi="Arial" w:cs="Arial"/>
          <w:b/>
          <w:sz w:val="24"/>
          <w:szCs w:val="24"/>
        </w:rPr>
        <w:t>dy dotyczące</w:t>
      </w:r>
      <w:r w:rsidR="00CE1596">
        <w:rPr>
          <w:rFonts w:ascii="Arial" w:hAnsi="Arial" w:cs="Arial"/>
          <w:b/>
          <w:sz w:val="24"/>
          <w:szCs w:val="24"/>
        </w:rPr>
        <w:t xml:space="preserve"> kwalifikowalności kosztów informacji i promocji</w:t>
      </w:r>
    </w:p>
    <w:p w14:paraId="7431F494" w14:textId="304E662A" w:rsidR="001D79B2" w:rsidRPr="00BA44A2" w:rsidRDefault="001D79B2" w:rsidP="003E3335">
      <w:pPr>
        <w:spacing w:after="120" w:line="276" w:lineRule="auto"/>
        <w:rPr>
          <w:rFonts w:cs="Arial"/>
        </w:rPr>
      </w:pPr>
      <w:r>
        <w:rPr>
          <w:rFonts w:cs="Arial"/>
        </w:rPr>
        <w:t xml:space="preserve">Jeśli chodzi o koszty związane z informacją i promocją, to należy wskazać, ze </w:t>
      </w:r>
      <w:r w:rsidRPr="003117CB">
        <w:rPr>
          <w:rFonts w:cs="Arial"/>
        </w:rPr>
        <w:t>kwalifikowalne będą w szczególności koszty</w:t>
      </w:r>
      <w:r>
        <w:rPr>
          <w:rFonts w:cs="Arial"/>
        </w:rPr>
        <w:t xml:space="preserve"> </w:t>
      </w:r>
      <w:r w:rsidR="00F2495F" w:rsidRPr="00F2495F">
        <w:rPr>
          <w:rFonts w:cs="Arial"/>
        </w:rPr>
        <w:t>przygotowania</w:t>
      </w:r>
      <w:r w:rsidR="00F2495F">
        <w:rPr>
          <w:rFonts w:cs="Arial"/>
        </w:rPr>
        <w:t xml:space="preserve"> lub</w:t>
      </w:r>
      <w:r w:rsidR="00F2495F" w:rsidRPr="00F2495F">
        <w:rPr>
          <w:rFonts w:cs="Arial"/>
        </w:rPr>
        <w:t xml:space="preserve"> aktualizacji informacji</w:t>
      </w:r>
      <w:r w:rsidR="00F2495F">
        <w:rPr>
          <w:rFonts w:cs="Arial"/>
        </w:rPr>
        <w:t xml:space="preserve"> lub</w:t>
      </w:r>
      <w:r w:rsidR="00F2495F" w:rsidRPr="00F2495F">
        <w:rPr>
          <w:rFonts w:cs="Arial"/>
        </w:rPr>
        <w:t xml:space="preserve"> zakładki na stronie internetowej poświęconej projektowi,</w:t>
      </w:r>
      <w:r w:rsidR="00F2495F">
        <w:rPr>
          <w:rFonts w:cs="Arial"/>
        </w:rPr>
        <w:t xml:space="preserve"> wytworzenia lub</w:t>
      </w:r>
      <w:r w:rsidR="00F2495F" w:rsidRPr="00F2495F">
        <w:rPr>
          <w:rFonts w:cs="Arial"/>
        </w:rPr>
        <w:t xml:space="preserve"> zakupu tablic informacyjnych,</w:t>
      </w:r>
      <w:r w:rsidR="00F2495F">
        <w:rPr>
          <w:rFonts w:cs="Arial"/>
        </w:rPr>
        <w:t xml:space="preserve"> wytworzenia lub</w:t>
      </w:r>
      <w:r w:rsidR="00F2495F" w:rsidRPr="00F2495F">
        <w:rPr>
          <w:rFonts w:cs="Arial"/>
        </w:rPr>
        <w:t xml:space="preserve"> zakupu tablic pamiątkowych,</w:t>
      </w:r>
      <w:r w:rsidR="00F2495F">
        <w:rPr>
          <w:rFonts w:cs="Arial"/>
        </w:rPr>
        <w:t xml:space="preserve"> wytworzenia lub zakupu</w:t>
      </w:r>
      <w:r w:rsidR="00F2495F" w:rsidRPr="00F2495F">
        <w:rPr>
          <w:rFonts w:cs="Arial"/>
        </w:rPr>
        <w:t xml:space="preserve"> obowiązkowych plakatów informacyjnych w miejscu realizacji projektu,</w:t>
      </w:r>
      <w:r w:rsidR="00F2495F">
        <w:rPr>
          <w:rFonts w:cs="Arial"/>
        </w:rPr>
        <w:t xml:space="preserve"> </w:t>
      </w:r>
      <w:r w:rsidR="00F2495F" w:rsidRPr="00F2495F">
        <w:rPr>
          <w:rFonts w:cs="Arial"/>
        </w:rPr>
        <w:t>organizacji wydarzeń informacyjnych lub działań komunikacyjnych w przypadku projektów o charakterze strategicznym, np. z udziałem Komisji Europejskiej i Instytucji Zarządzającej (np. najem sali, zapewnienie nagłośnienia, zakup cateringu, zakup reklamy w mediach dot. wydarzenia itp.)</w:t>
      </w:r>
      <w:r w:rsidRPr="00BA44A2">
        <w:rPr>
          <w:rFonts w:cs="Arial"/>
        </w:rPr>
        <w:t>.</w:t>
      </w:r>
    </w:p>
    <w:p w14:paraId="11F41FDF" w14:textId="23DF2448" w:rsidR="0056022D" w:rsidRDefault="001D79B2" w:rsidP="003E3335">
      <w:pPr>
        <w:autoSpaceDE w:val="0"/>
        <w:autoSpaceDN w:val="0"/>
        <w:adjustRightInd w:val="0"/>
        <w:spacing w:after="120" w:line="276" w:lineRule="auto"/>
        <w:rPr>
          <w:rFonts w:eastAsia="Calibri" w:cs="Arial"/>
          <w:lang w:val="pl"/>
        </w:rPr>
      </w:pPr>
      <w:r>
        <w:rPr>
          <w:rFonts w:eastAsia="Calibri" w:cs="Arial"/>
          <w:lang w:val="pl"/>
        </w:rPr>
        <w:t>Natomiast z</w:t>
      </w:r>
      <w:r w:rsidR="00477697" w:rsidRPr="00477697">
        <w:rPr>
          <w:rFonts w:eastAsia="Calibri" w:cs="Arial"/>
          <w:lang w:val="pl"/>
        </w:rPr>
        <w:t xml:space="preserve"> </w:t>
      </w:r>
      <w:r w:rsidR="00B254BC">
        <w:rPr>
          <w:rFonts w:eastAsia="Calibri" w:cs="Arial"/>
          <w:lang w:val="pl"/>
        </w:rPr>
        <w:t xml:space="preserve">ustaleń </w:t>
      </w:r>
      <w:r w:rsidR="000608D8">
        <w:rPr>
          <w:rFonts w:eastAsia="Calibri" w:cs="Arial"/>
          <w:lang w:val="pl"/>
        </w:rPr>
        <w:t xml:space="preserve">w ramach negocjacji FEP </w:t>
      </w:r>
      <w:r w:rsidR="00B254BC">
        <w:rPr>
          <w:rFonts w:eastAsia="Calibri" w:cs="Arial"/>
          <w:lang w:val="pl"/>
        </w:rPr>
        <w:t xml:space="preserve">z </w:t>
      </w:r>
      <w:r w:rsidR="00477697" w:rsidRPr="00477697">
        <w:rPr>
          <w:rFonts w:eastAsia="Calibri" w:cs="Arial"/>
          <w:lang w:val="pl"/>
        </w:rPr>
        <w:t>Komisją Europejską wynika, że p</w:t>
      </w:r>
      <w:r w:rsidR="0056022D" w:rsidRPr="00477697">
        <w:rPr>
          <w:rFonts w:eastAsia="Calibri" w:cs="Arial"/>
          <w:lang w:val="pl"/>
        </w:rPr>
        <w:t>odstawowy</w:t>
      </w:r>
      <w:r w:rsidR="00477697" w:rsidRPr="00477697">
        <w:rPr>
          <w:rFonts w:eastAsia="Calibri" w:cs="Arial"/>
          <w:lang w:val="pl"/>
        </w:rPr>
        <w:t xml:space="preserve"> mechanizm prowadzenia działań informacyjno-promocyjnych powinien zakładać wykorzystanie</w:t>
      </w:r>
      <w:r w:rsidR="0056022D" w:rsidRPr="00477697">
        <w:rPr>
          <w:rFonts w:eastAsia="Calibri" w:cs="Arial"/>
          <w:lang w:val="pl"/>
        </w:rPr>
        <w:t xml:space="preserve"> wersj</w:t>
      </w:r>
      <w:r w:rsidR="00477697" w:rsidRPr="00477697">
        <w:rPr>
          <w:rFonts w:eastAsia="Calibri" w:cs="Arial"/>
          <w:lang w:val="pl"/>
        </w:rPr>
        <w:t>i</w:t>
      </w:r>
      <w:r w:rsidR="0056022D" w:rsidRPr="00477697">
        <w:rPr>
          <w:rFonts w:eastAsia="Calibri" w:cs="Arial"/>
          <w:lang w:val="pl"/>
        </w:rPr>
        <w:t xml:space="preserve"> cyfrow</w:t>
      </w:r>
      <w:r w:rsidR="00477697" w:rsidRPr="00477697">
        <w:rPr>
          <w:rFonts w:eastAsia="Calibri" w:cs="Arial"/>
          <w:lang w:val="pl"/>
        </w:rPr>
        <w:t>ych</w:t>
      </w:r>
      <w:r w:rsidR="0056022D" w:rsidRPr="00477697">
        <w:rPr>
          <w:rFonts w:eastAsia="Calibri" w:cs="Arial"/>
          <w:lang w:val="pl"/>
        </w:rPr>
        <w:t xml:space="preserve"> materiałów</w:t>
      </w:r>
      <w:r w:rsidR="00477697" w:rsidRPr="00477697">
        <w:rPr>
          <w:rFonts w:eastAsia="Calibri" w:cs="Arial"/>
          <w:lang w:val="pl"/>
        </w:rPr>
        <w:t xml:space="preserve"> promocyjnych. </w:t>
      </w:r>
      <w:r w:rsidR="00477697">
        <w:rPr>
          <w:rFonts w:eastAsia="Calibri" w:cs="Arial"/>
          <w:lang w:val="pl"/>
        </w:rPr>
        <w:t xml:space="preserve">Ma to uzasadnienie choćby w </w:t>
      </w:r>
      <w:r w:rsidR="002C79AB">
        <w:rPr>
          <w:rFonts w:eastAsia="Calibri" w:cs="Arial"/>
          <w:lang w:val="pl"/>
        </w:rPr>
        <w:t xml:space="preserve">promowaniu postaw ekologicznych. </w:t>
      </w:r>
      <w:r w:rsidR="00477697" w:rsidRPr="00477697">
        <w:rPr>
          <w:rFonts w:eastAsia="Calibri" w:cs="Arial"/>
          <w:lang w:val="pl"/>
        </w:rPr>
        <w:t xml:space="preserve">Stąd też </w:t>
      </w:r>
      <w:r w:rsidR="00477697">
        <w:rPr>
          <w:rFonts w:eastAsia="Calibri" w:cs="Arial"/>
          <w:lang w:val="pl"/>
        </w:rPr>
        <w:t>koszty związane z wytwarzaniem publikacji papierowych (np. albumów pamiątkowych,</w:t>
      </w:r>
      <w:r w:rsidR="00AB31D3">
        <w:rPr>
          <w:rFonts w:eastAsia="Calibri" w:cs="Arial"/>
          <w:lang w:val="pl"/>
        </w:rPr>
        <w:t xml:space="preserve"> kalendarzy, folderów,</w:t>
      </w:r>
      <w:r w:rsidR="00477697">
        <w:rPr>
          <w:rFonts w:eastAsia="Calibri" w:cs="Arial"/>
          <w:lang w:val="pl"/>
        </w:rPr>
        <w:t xml:space="preserve"> ulotek), takie jak koszty ich druku, będą niekwalifikowalne. </w:t>
      </w:r>
    </w:p>
    <w:p w14:paraId="535EE6C0" w14:textId="36EB1885" w:rsidR="008C29FA" w:rsidRDefault="008C29FA" w:rsidP="003E3335">
      <w:pPr>
        <w:autoSpaceDE w:val="0"/>
        <w:autoSpaceDN w:val="0"/>
        <w:adjustRightInd w:val="0"/>
        <w:spacing w:after="120" w:line="276" w:lineRule="auto"/>
        <w:rPr>
          <w:rFonts w:eastAsia="Calibri" w:cs="Arial"/>
          <w:lang w:val="pl"/>
        </w:rPr>
      </w:pPr>
      <w:r>
        <w:rPr>
          <w:rFonts w:eastAsia="Calibri" w:cs="Arial"/>
          <w:lang w:val="pl"/>
        </w:rPr>
        <w:t>Dla uniknięcia wątpliwości należy wskazać, że nie dotyczy to plakatów informacyjnych.</w:t>
      </w:r>
    </w:p>
    <w:p w14:paraId="236DA9D6" w14:textId="78ACEEAC" w:rsidR="00477697" w:rsidRPr="00477697" w:rsidRDefault="00477697" w:rsidP="003E3335">
      <w:pPr>
        <w:autoSpaceDE w:val="0"/>
        <w:autoSpaceDN w:val="0"/>
        <w:adjustRightInd w:val="0"/>
        <w:spacing w:after="120" w:line="276" w:lineRule="auto"/>
        <w:rPr>
          <w:rFonts w:eastAsia="Calibri" w:cs="Arial"/>
          <w:lang w:val="pl"/>
        </w:rPr>
      </w:pPr>
      <w:r>
        <w:rPr>
          <w:rFonts w:eastAsia="Calibri" w:cs="Arial"/>
          <w:lang w:val="pl"/>
        </w:rPr>
        <w:t xml:space="preserve">Od zasady tej w regulaminach wyboru projektów mogą zostać wprowadzone wyjątki. Wyjątek taki musi być uzasadniony tym, że dana publikacja jest skierowana do </w:t>
      </w:r>
      <w:r w:rsidR="002C79AB">
        <w:rPr>
          <w:rFonts w:eastAsia="Calibri" w:cs="Arial"/>
          <w:lang w:val="pl"/>
        </w:rPr>
        <w:t xml:space="preserve">takiej </w:t>
      </w:r>
      <w:r>
        <w:rPr>
          <w:rFonts w:eastAsia="Calibri" w:cs="Arial"/>
          <w:lang w:val="pl"/>
        </w:rPr>
        <w:t>grupy odbiorców</w:t>
      </w:r>
      <w:r w:rsidR="008C29FA">
        <w:rPr>
          <w:rFonts w:eastAsia="Calibri" w:cs="Arial"/>
          <w:lang w:val="pl"/>
        </w:rPr>
        <w:t xml:space="preserve"> (np. osób starszych)</w:t>
      </w:r>
      <w:r>
        <w:rPr>
          <w:rFonts w:eastAsia="Calibri" w:cs="Arial"/>
          <w:lang w:val="pl"/>
        </w:rPr>
        <w:t>, dla której wersja papierowa jest znacznie prostsza w odbiorze niż wersja cyfrowa.</w:t>
      </w:r>
    </w:p>
    <w:p w14:paraId="6DE1B336" w14:textId="0A276AA8" w:rsidR="00E17BBE" w:rsidRPr="00477697" w:rsidRDefault="00477697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eastAsia="Calibri" w:cs="Arial"/>
          <w:lang w:val="pl"/>
        </w:rPr>
        <w:t xml:space="preserve">Ponadto, </w:t>
      </w:r>
      <w:r w:rsidRPr="00477697">
        <w:rPr>
          <w:rFonts w:eastAsia="Calibri" w:cs="Arial"/>
          <w:lang w:val="pl"/>
        </w:rPr>
        <w:t xml:space="preserve">z ustaleń z Komisją Europejską wynika, że </w:t>
      </w:r>
      <w:r>
        <w:rPr>
          <w:rFonts w:eastAsia="Calibri" w:cs="Arial"/>
          <w:lang w:val="pl"/>
        </w:rPr>
        <w:t>g</w:t>
      </w:r>
      <w:r w:rsidR="0056022D" w:rsidRPr="00477697">
        <w:rPr>
          <w:rFonts w:eastAsia="Calibri" w:cs="Arial"/>
          <w:lang w:val="pl"/>
        </w:rPr>
        <w:t xml:space="preserve">adżety nie są narzędziem promocji </w:t>
      </w:r>
      <w:r>
        <w:rPr>
          <w:rFonts w:eastAsia="Calibri" w:cs="Arial"/>
          <w:lang w:val="pl"/>
        </w:rPr>
        <w:t>funduszy europejskich</w:t>
      </w:r>
      <w:r w:rsidR="0056022D" w:rsidRPr="00477697">
        <w:rPr>
          <w:rFonts w:eastAsia="Calibri" w:cs="Arial"/>
          <w:lang w:val="pl"/>
        </w:rPr>
        <w:t>.</w:t>
      </w:r>
      <w:r>
        <w:rPr>
          <w:rFonts w:eastAsia="Calibri" w:cs="Arial"/>
          <w:lang w:val="pl"/>
        </w:rPr>
        <w:t xml:space="preserve"> Stąd też </w:t>
      </w:r>
      <w:r w:rsidR="008C29FA">
        <w:rPr>
          <w:rFonts w:cs="Arial"/>
        </w:rPr>
        <w:t xml:space="preserve">koszty </w:t>
      </w:r>
      <w:r w:rsidR="00A76CBC">
        <w:rPr>
          <w:rFonts w:cs="Arial"/>
        </w:rPr>
        <w:t>wytwarzania</w:t>
      </w:r>
      <w:r w:rsidR="008C29FA">
        <w:rPr>
          <w:rFonts w:cs="Arial"/>
        </w:rPr>
        <w:t xml:space="preserve"> gadżetów promocyjnych (np. długopisów, notesów, kubków, urządzeń pamięci przenośnej typu </w:t>
      </w:r>
      <w:r w:rsidR="008C29FA" w:rsidRPr="00477697">
        <w:rPr>
          <w:rFonts w:cs="Arial"/>
          <w:i/>
        </w:rPr>
        <w:t>pendrive</w:t>
      </w:r>
      <w:r w:rsidR="008C29FA">
        <w:rPr>
          <w:rFonts w:cs="Arial"/>
        </w:rPr>
        <w:t>, plecaków) będą niekwalifikowalne.</w:t>
      </w:r>
    </w:p>
    <w:p w14:paraId="5F885FC7" w14:textId="4FCE54FD" w:rsidR="00E4687B" w:rsidRPr="00D80321" w:rsidRDefault="00E17BBE" w:rsidP="003E3335">
      <w:pPr>
        <w:autoSpaceDE w:val="0"/>
        <w:autoSpaceDN w:val="0"/>
        <w:adjustRightInd w:val="0"/>
        <w:spacing w:after="120" w:line="276" w:lineRule="auto"/>
        <w:rPr>
          <w:rFonts w:cs="Arial"/>
        </w:rPr>
      </w:pPr>
      <w:r>
        <w:rPr>
          <w:rFonts w:cs="Arial"/>
        </w:rPr>
        <w:t>Niniejsza uchwała</w:t>
      </w:r>
      <w:r w:rsidR="0064362D" w:rsidRPr="00D80321">
        <w:rPr>
          <w:rFonts w:cs="Arial"/>
        </w:rPr>
        <w:t xml:space="preserve"> zostanie podan</w:t>
      </w:r>
      <w:r>
        <w:rPr>
          <w:rFonts w:cs="Arial"/>
        </w:rPr>
        <w:t>a</w:t>
      </w:r>
      <w:r w:rsidR="0064362D" w:rsidRPr="00D80321">
        <w:rPr>
          <w:rFonts w:cs="Arial"/>
        </w:rPr>
        <w:t xml:space="preserve"> do publicznej wiadomości </w:t>
      </w:r>
      <w:r w:rsidR="00F20E12">
        <w:rPr>
          <w:rFonts w:cs="Arial"/>
        </w:rPr>
        <w:t>na portalu internetowym funduszy europejskich</w:t>
      </w:r>
      <w:r w:rsidR="0064362D" w:rsidRPr="00D80321">
        <w:rPr>
          <w:rFonts w:cs="Arial"/>
        </w:rPr>
        <w:t>.</w:t>
      </w:r>
    </w:p>
    <w:sectPr w:rsidR="00E4687B" w:rsidRPr="00D80321" w:rsidSect="00B855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5287" w14:textId="77777777" w:rsidR="00F942E1" w:rsidRDefault="00F942E1">
      <w:r>
        <w:separator/>
      </w:r>
    </w:p>
  </w:endnote>
  <w:endnote w:type="continuationSeparator" w:id="0">
    <w:p w14:paraId="3DD71EE2" w14:textId="77777777" w:rsidR="00F942E1" w:rsidRDefault="00F9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559B" w14:textId="77777777" w:rsidR="009606AD" w:rsidRDefault="009606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3CFA" w14:textId="77777777" w:rsidR="009606AD" w:rsidRDefault="009606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F9D4" w14:textId="77777777" w:rsidR="009606AD" w:rsidRDefault="00960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327FC" w14:textId="77777777" w:rsidR="00F942E1" w:rsidRDefault="00F942E1">
      <w:r>
        <w:separator/>
      </w:r>
    </w:p>
  </w:footnote>
  <w:footnote w:type="continuationSeparator" w:id="0">
    <w:p w14:paraId="0FCCD546" w14:textId="77777777" w:rsidR="00F942E1" w:rsidRDefault="00F942E1">
      <w:r>
        <w:continuationSeparator/>
      </w:r>
    </w:p>
  </w:footnote>
  <w:footnote w:id="1">
    <w:p w14:paraId="4C507520" w14:textId="13F0D793" w:rsidR="007A36E8" w:rsidRPr="007A36E8" w:rsidRDefault="007A36E8">
      <w:pPr>
        <w:pStyle w:val="Tekstprzypisudolnego"/>
      </w:pPr>
      <w:r w:rsidRPr="007A36E8">
        <w:rPr>
          <w:rStyle w:val="Odwoanieprzypisudolnego"/>
        </w:rPr>
        <w:footnoteRef/>
      </w:r>
      <w:r w:rsidRPr="007A36E8">
        <w:t xml:space="preserve"> 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 r., s. 159).</w:t>
      </w:r>
    </w:p>
  </w:footnote>
  <w:footnote w:id="2">
    <w:p w14:paraId="77EA2D30" w14:textId="029A1F24" w:rsidR="007A36E8" w:rsidRPr="00F20E12" w:rsidRDefault="007A36E8">
      <w:pPr>
        <w:pStyle w:val="Tekstprzypisudolnego"/>
      </w:pPr>
      <w:r w:rsidRPr="00F20E12">
        <w:rPr>
          <w:rStyle w:val="Odwoanieprzypisudolnego"/>
        </w:rPr>
        <w:footnoteRef/>
      </w:r>
      <w:r w:rsidRPr="00F20E12">
        <w:t xml:space="preserve"> </w:t>
      </w:r>
      <w:r w:rsidR="00F20E12" w:rsidRPr="00F20E12">
        <w:t>Ustawa z dnia 28 kwietnia 2022 r. o zasadach realizacji zadań finansowanych ze środków europejskich w perspektywie finansowej 2021-2027 (</w:t>
      </w:r>
      <w:r w:rsidR="002B75E1">
        <w:t xml:space="preserve">tj. </w:t>
      </w:r>
      <w:r w:rsidR="00F20E12" w:rsidRPr="00F20E12">
        <w:t xml:space="preserve">Dz.U. </w:t>
      </w:r>
      <w:r w:rsidR="002B75E1">
        <w:t xml:space="preserve">z 2025 r., </w:t>
      </w:r>
      <w:r w:rsidR="00F20E12" w:rsidRPr="00F20E12">
        <w:t>poz. 1</w:t>
      </w:r>
      <w:r w:rsidR="002B75E1">
        <w:t>733 ze zm.</w:t>
      </w:r>
      <w:r w:rsidR="00F20E12" w:rsidRPr="00F20E12">
        <w:t>).</w:t>
      </w:r>
    </w:p>
  </w:footnote>
  <w:footnote w:id="3">
    <w:p w14:paraId="1F556DCD" w14:textId="4BA0BA7A" w:rsidR="00E73391" w:rsidRDefault="00E733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20273">
        <w:t xml:space="preserve">Dokument opublikowany pod adresem: </w:t>
      </w:r>
      <w:hyperlink r:id="rId1" w:history="1">
        <w:r w:rsidR="00620273" w:rsidRPr="00A95D69">
          <w:rPr>
            <w:rStyle w:val="Hipercze"/>
          </w:rPr>
          <w:t>https://www.funduszeeuropejskie.gov.pl/media/112343/Wytyczne_dotyczace_kwalifikowalnosci_2021_2027.pdf</w:t>
        </w:r>
      </w:hyperlink>
      <w:r w:rsidR="00620273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F7C3" w14:textId="77777777" w:rsidR="009606AD" w:rsidRDefault="009606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1D96" w14:textId="77FF465E" w:rsidR="00C63DCF" w:rsidRDefault="00C63DCF" w:rsidP="009606A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E119" w14:textId="77777777" w:rsidR="009606AD" w:rsidRDefault="009606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BC1"/>
    <w:multiLevelType w:val="hybridMultilevel"/>
    <w:tmpl w:val="CC74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3A1A"/>
    <w:multiLevelType w:val="hybridMultilevel"/>
    <w:tmpl w:val="673E3C38"/>
    <w:lvl w:ilvl="0" w:tplc="C8D8AB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E05BEC"/>
    <w:multiLevelType w:val="hybridMultilevel"/>
    <w:tmpl w:val="3A82E91C"/>
    <w:lvl w:ilvl="0" w:tplc="89F0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B608C"/>
    <w:multiLevelType w:val="hybridMultilevel"/>
    <w:tmpl w:val="6D085ABA"/>
    <w:lvl w:ilvl="0" w:tplc="1846B016">
      <w:start w:val="1"/>
      <w:numFmt w:val="bullet"/>
      <w:lvlText w:val="-"/>
      <w:lvlJc w:val="left"/>
      <w:pPr>
        <w:ind w:left="17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4" w15:restartNumberingAfterBreak="0">
    <w:nsid w:val="1F1A5317"/>
    <w:multiLevelType w:val="hybridMultilevel"/>
    <w:tmpl w:val="26EA456C"/>
    <w:lvl w:ilvl="0" w:tplc="D06C5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0EF3"/>
    <w:multiLevelType w:val="hybridMultilevel"/>
    <w:tmpl w:val="4A5E4D98"/>
    <w:lvl w:ilvl="0" w:tplc="C5DE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778D3"/>
    <w:multiLevelType w:val="hybridMultilevel"/>
    <w:tmpl w:val="AAC24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088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51D5452"/>
    <w:multiLevelType w:val="hybridMultilevel"/>
    <w:tmpl w:val="4D2262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E26A4B"/>
    <w:multiLevelType w:val="hybridMultilevel"/>
    <w:tmpl w:val="359E5060"/>
    <w:lvl w:ilvl="0" w:tplc="3F7A9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0500"/>
    <w:multiLevelType w:val="hybridMultilevel"/>
    <w:tmpl w:val="C114AE2A"/>
    <w:lvl w:ilvl="0" w:tplc="435464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E316C00"/>
    <w:multiLevelType w:val="hybridMultilevel"/>
    <w:tmpl w:val="90EE87F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E43829"/>
    <w:multiLevelType w:val="hybridMultilevel"/>
    <w:tmpl w:val="4E80F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C3A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61B36"/>
    <w:multiLevelType w:val="hybridMultilevel"/>
    <w:tmpl w:val="9FDA0B9C"/>
    <w:lvl w:ilvl="0" w:tplc="867CB0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4E5081"/>
    <w:multiLevelType w:val="hybridMultilevel"/>
    <w:tmpl w:val="485EC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154E5"/>
    <w:multiLevelType w:val="hybridMultilevel"/>
    <w:tmpl w:val="48F2E5E6"/>
    <w:lvl w:ilvl="0" w:tplc="9F807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1781D"/>
    <w:multiLevelType w:val="hybridMultilevel"/>
    <w:tmpl w:val="13CE4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33060"/>
    <w:multiLevelType w:val="hybridMultilevel"/>
    <w:tmpl w:val="9F26E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E4DCF"/>
    <w:multiLevelType w:val="hybridMultilevel"/>
    <w:tmpl w:val="D350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745F2"/>
    <w:multiLevelType w:val="hybridMultilevel"/>
    <w:tmpl w:val="6D362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F807A48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70885"/>
    <w:multiLevelType w:val="hybridMultilevel"/>
    <w:tmpl w:val="9BEE8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32F93"/>
    <w:multiLevelType w:val="hybridMultilevel"/>
    <w:tmpl w:val="8CF03744"/>
    <w:lvl w:ilvl="0" w:tplc="3E64FDE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343CB6"/>
    <w:multiLevelType w:val="hybridMultilevel"/>
    <w:tmpl w:val="0794F4BC"/>
    <w:lvl w:ilvl="0" w:tplc="C5DE91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55D04"/>
    <w:multiLevelType w:val="hybridMultilevel"/>
    <w:tmpl w:val="180A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6297">
    <w:abstractNumId w:val="1"/>
  </w:num>
  <w:num w:numId="2" w16cid:durableId="139924509">
    <w:abstractNumId w:val="10"/>
  </w:num>
  <w:num w:numId="3" w16cid:durableId="1297955490">
    <w:abstractNumId w:val="2"/>
  </w:num>
  <w:num w:numId="4" w16cid:durableId="1035235893">
    <w:abstractNumId w:val="12"/>
  </w:num>
  <w:num w:numId="5" w16cid:durableId="1855805904">
    <w:abstractNumId w:val="23"/>
  </w:num>
  <w:num w:numId="6" w16cid:durableId="2025553459">
    <w:abstractNumId w:val="6"/>
  </w:num>
  <w:num w:numId="7" w16cid:durableId="1929658625">
    <w:abstractNumId w:val="9"/>
  </w:num>
  <w:num w:numId="8" w16cid:durableId="1450973853">
    <w:abstractNumId w:val="0"/>
  </w:num>
  <w:num w:numId="9" w16cid:durableId="303195249">
    <w:abstractNumId w:val="5"/>
  </w:num>
  <w:num w:numId="10" w16cid:durableId="1236550580">
    <w:abstractNumId w:val="20"/>
  </w:num>
  <w:num w:numId="11" w16cid:durableId="555509544">
    <w:abstractNumId w:val="24"/>
  </w:num>
  <w:num w:numId="12" w16cid:durableId="2121756949">
    <w:abstractNumId w:val="14"/>
  </w:num>
  <w:num w:numId="13" w16cid:durableId="2128431420">
    <w:abstractNumId w:val="22"/>
  </w:num>
  <w:num w:numId="14" w16cid:durableId="2050760493">
    <w:abstractNumId w:val="13"/>
  </w:num>
  <w:num w:numId="15" w16cid:durableId="179317368">
    <w:abstractNumId w:val="4"/>
  </w:num>
  <w:num w:numId="16" w16cid:durableId="539977892">
    <w:abstractNumId w:val="8"/>
  </w:num>
  <w:num w:numId="17" w16cid:durableId="118109871">
    <w:abstractNumId w:val="15"/>
  </w:num>
  <w:num w:numId="18" w16cid:durableId="466703676">
    <w:abstractNumId w:val="19"/>
  </w:num>
  <w:num w:numId="19" w16cid:durableId="648051296">
    <w:abstractNumId w:val="17"/>
  </w:num>
  <w:num w:numId="20" w16cid:durableId="131401900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1529505">
    <w:abstractNumId w:val="18"/>
  </w:num>
  <w:num w:numId="22" w16cid:durableId="15441737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0437750">
    <w:abstractNumId w:val="16"/>
  </w:num>
  <w:num w:numId="24" w16cid:durableId="1943339382">
    <w:abstractNumId w:val="11"/>
  </w:num>
  <w:num w:numId="25" w16cid:durableId="1582327330">
    <w:abstractNumId w:val="7"/>
  </w:num>
  <w:num w:numId="26" w16cid:durableId="800463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8979DA2-6F75-4170-A143-CE6977E8D5EF}"/>
  </w:docVars>
  <w:rsids>
    <w:rsidRoot w:val="005A1291"/>
    <w:rsid w:val="00001B39"/>
    <w:rsid w:val="00002A00"/>
    <w:rsid w:val="00003679"/>
    <w:rsid w:val="000041DE"/>
    <w:rsid w:val="000065DA"/>
    <w:rsid w:val="00007C58"/>
    <w:rsid w:val="00010FC9"/>
    <w:rsid w:val="000131C6"/>
    <w:rsid w:val="00016666"/>
    <w:rsid w:val="0002027A"/>
    <w:rsid w:val="0002163D"/>
    <w:rsid w:val="00022DE5"/>
    <w:rsid w:val="0002402C"/>
    <w:rsid w:val="00024A42"/>
    <w:rsid w:val="00025465"/>
    <w:rsid w:val="0002670E"/>
    <w:rsid w:val="000303E2"/>
    <w:rsid w:val="000322FE"/>
    <w:rsid w:val="00034325"/>
    <w:rsid w:val="0003475E"/>
    <w:rsid w:val="00036F61"/>
    <w:rsid w:val="00042AC7"/>
    <w:rsid w:val="00042FFA"/>
    <w:rsid w:val="00046B7C"/>
    <w:rsid w:val="00046C1C"/>
    <w:rsid w:val="0005455D"/>
    <w:rsid w:val="00054C3A"/>
    <w:rsid w:val="00055EFF"/>
    <w:rsid w:val="00057123"/>
    <w:rsid w:val="000608D8"/>
    <w:rsid w:val="00060C26"/>
    <w:rsid w:val="00061FA8"/>
    <w:rsid w:val="000627AF"/>
    <w:rsid w:val="00063B95"/>
    <w:rsid w:val="00066455"/>
    <w:rsid w:val="0007548E"/>
    <w:rsid w:val="000765A4"/>
    <w:rsid w:val="00082B33"/>
    <w:rsid w:val="0008430C"/>
    <w:rsid w:val="00086166"/>
    <w:rsid w:val="00090E0B"/>
    <w:rsid w:val="00091946"/>
    <w:rsid w:val="00092627"/>
    <w:rsid w:val="000933F9"/>
    <w:rsid w:val="0009397D"/>
    <w:rsid w:val="000944D5"/>
    <w:rsid w:val="00095E15"/>
    <w:rsid w:val="000A06E7"/>
    <w:rsid w:val="000A4BC0"/>
    <w:rsid w:val="000A5AF0"/>
    <w:rsid w:val="000A6A50"/>
    <w:rsid w:val="000B3F91"/>
    <w:rsid w:val="000C0386"/>
    <w:rsid w:val="000C2AB1"/>
    <w:rsid w:val="000C52AF"/>
    <w:rsid w:val="000D405D"/>
    <w:rsid w:val="000D4A7A"/>
    <w:rsid w:val="000D5BEE"/>
    <w:rsid w:val="000D63DB"/>
    <w:rsid w:val="000D701F"/>
    <w:rsid w:val="000E0EEC"/>
    <w:rsid w:val="000E1714"/>
    <w:rsid w:val="000E2FA3"/>
    <w:rsid w:val="000E4C88"/>
    <w:rsid w:val="000E5205"/>
    <w:rsid w:val="000F3454"/>
    <w:rsid w:val="000F4A5A"/>
    <w:rsid w:val="000F699B"/>
    <w:rsid w:val="00103735"/>
    <w:rsid w:val="00104839"/>
    <w:rsid w:val="00124B13"/>
    <w:rsid w:val="001251B8"/>
    <w:rsid w:val="001264DD"/>
    <w:rsid w:val="00127480"/>
    <w:rsid w:val="00133C5F"/>
    <w:rsid w:val="00135043"/>
    <w:rsid w:val="00135443"/>
    <w:rsid w:val="001373FF"/>
    <w:rsid w:val="00137534"/>
    <w:rsid w:val="00137FFC"/>
    <w:rsid w:val="001400DD"/>
    <w:rsid w:val="0014259D"/>
    <w:rsid w:val="001454A5"/>
    <w:rsid w:val="00151538"/>
    <w:rsid w:val="0015778A"/>
    <w:rsid w:val="00162984"/>
    <w:rsid w:val="00163C89"/>
    <w:rsid w:val="00164987"/>
    <w:rsid w:val="00164FB8"/>
    <w:rsid w:val="00165E0B"/>
    <w:rsid w:val="00174B67"/>
    <w:rsid w:val="00174D02"/>
    <w:rsid w:val="00175C66"/>
    <w:rsid w:val="00176876"/>
    <w:rsid w:val="001803BD"/>
    <w:rsid w:val="00186537"/>
    <w:rsid w:val="0019213C"/>
    <w:rsid w:val="00192DFE"/>
    <w:rsid w:val="001944D7"/>
    <w:rsid w:val="00194AA7"/>
    <w:rsid w:val="00194FF5"/>
    <w:rsid w:val="0019529F"/>
    <w:rsid w:val="001A0674"/>
    <w:rsid w:val="001A1479"/>
    <w:rsid w:val="001A285C"/>
    <w:rsid w:val="001A2A68"/>
    <w:rsid w:val="001A39DC"/>
    <w:rsid w:val="001A439A"/>
    <w:rsid w:val="001A45D4"/>
    <w:rsid w:val="001A63B7"/>
    <w:rsid w:val="001A6A92"/>
    <w:rsid w:val="001A77FC"/>
    <w:rsid w:val="001B0081"/>
    <w:rsid w:val="001B17C9"/>
    <w:rsid w:val="001B7E1B"/>
    <w:rsid w:val="001C082C"/>
    <w:rsid w:val="001C2AFA"/>
    <w:rsid w:val="001C3226"/>
    <w:rsid w:val="001C4592"/>
    <w:rsid w:val="001C5A95"/>
    <w:rsid w:val="001C69DC"/>
    <w:rsid w:val="001C7712"/>
    <w:rsid w:val="001C795C"/>
    <w:rsid w:val="001D2D91"/>
    <w:rsid w:val="001D313D"/>
    <w:rsid w:val="001D4DA7"/>
    <w:rsid w:val="001D55CE"/>
    <w:rsid w:val="001D73D2"/>
    <w:rsid w:val="001D79B2"/>
    <w:rsid w:val="001E1071"/>
    <w:rsid w:val="001E1182"/>
    <w:rsid w:val="001E30AF"/>
    <w:rsid w:val="001E33AE"/>
    <w:rsid w:val="001F01CA"/>
    <w:rsid w:val="001F2E11"/>
    <w:rsid w:val="001F36C1"/>
    <w:rsid w:val="001F60BE"/>
    <w:rsid w:val="001F63C4"/>
    <w:rsid w:val="001F7516"/>
    <w:rsid w:val="002033B6"/>
    <w:rsid w:val="002049B4"/>
    <w:rsid w:val="002070AA"/>
    <w:rsid w:val="00210703"/>
    <w:rsid w:val="0021072A"/>
    <w:rsid w:val="00215548"/>
    <w:rsid w:val="002178D5"/>
    <w:rsid w:val="00217A6A"/>
    <w:rsid w:val="002229E5"/>
    <w:rsid w:val="002230C7"/>
    <w:rsid w:val="00226217"/>
    <w:rsid w:val="002330A5"/>
    <w:rsid w:val="00233961"/>
    <w:rsid w:val="00242FCE"/>
    <w:rsid w:val="00243651"/>
    <w:rsid w:val="002442BD"/>
    <w:rsid w:val="002463EB"/>
    <w:rsid w:val="00247989"/>
    <w:rsid w:val="00250762"/>
    <w:rsid w:val="00253006"/>
    <w:rsid w:val="00253436"/>
    <w:rsid w:val="00255533"/>
    <w:rsid w:val="00263068"/>
    <w:rsid w:val="002630B1"/>
    <w:rsid w:val="00263BFF"/>
    <w:rsid w:val="00263DC6"/>
    <w:rsid w:val="00264AAC"/>
    <w:rsid w:val="002655CA"/>
    <w:rsid w:val="00266035"/>
    <w:rsid w:val="00267530"/>
    <w:rsid w:val="00270A71"/>
    <w:rsid w:val="00274DA3"/>
    <w:rsid w:val="00274F6B"/>
    <w:rsid w:val="0027556A"/>
    <w:rsid w:val="00275663"/>
    <w:rsid w:val="0028222D"/>
    <w:rsid w:val="00285D3D"/>
    <w:rsid w:val="00290910"/>
    <w:rsid w:val="00291D05"/>
    <w:rsid w:val="00294E49"/>
    <w:rsid w:val="00296EA3"/>
    <w:rsid w:val="002A3DA5"/>
    <w:rsid w:val="002A3DCE"/>
    <w:rsid w:val="002A3F34"/>
    <w:rsid w:val="002B29E0"/>
    <w:rsid w:val="002B6080"/>
    <w:rsid w:val="002B6D5A"/>
    <w:rsid w:val="002B75E1"/>
    <w:rsid w:val="002B7EA1"/>
    <w:rsid w:val="002C4A79"/>
    <w:rsid w:val="002C79AB"/>
    <w:rsid w:val="002D229F"/>
    <w:rsid w:val="002D2484"/>
    <w:rsid w:val="002D3D83"/>
    <w:rsid w:val="002D3F8E"/>
    <w:rsid w:val="002E012F"/>
    <w:rsid w:val="002E0B0E"/>
    <w:rsid w:val="002E1933"/>
    <w:rsid w:val="002E2205"/>
    <w:rsid w:val="002E2D60"/>
    <w:rsid w:val="002E3F90"/>
    <w:rsid w:val="002E5A2D"/>
    <w:rsid w:val="002F3ABB"/>
    <w:rsid w:val="002F5F8D"/>
    <w:rsid w:val="002F7B93"/>
    <w:rsid w:val="00304C8A"/>
    <w:rsid w:val="0031078E"/>
    <w:rsid w:val="003117CB"/>
    <w:rsid w:val="003122DE"/>
    <w:rsid w:val="003125B3"/>
    <w:rsid w:val="003209E1"/>
    <w:rsid w:val="00321368"/>
    <w:rsid w:val="00321FB2"/>
    <w:rsid w:val="00326B17"/>
    <w:rsid w:val="00326BE7"/>
    <w:rsid w:val="00332DF9"/>
    <w:rsid w:val="00340476"/>
    <w:rsid w:val="00341416"/>
    <w:rsid w:val="00345512"/>
    <w:rsid w:val="0034735C"/>
    <w:rsid w:val="00352805"/>
    <w:rsid w:val="00354DB0"/>
    <w:rsid w:val="00356350"/>
    <w:rsid w:val="00360102"/>
    <w:rsid w:val="00363483"/>
    <w:rsid w:val="00365C53"/>
    <w:rsid w:val="00367157"/>
    <w:rsid w:val="0037096D"/>
    <w:rsid w:val="00371394"/>
    <w:rsid w:val="0037166A"/>
    <w:rsid w:val="00374071"/>
    <w:rsid w:val="0038060F"/>
    <w:rsid w:val="003876BB"/>
    <w:rsid w:val="00390A51"/>
    <w:rsid w:val="00390D82"/>
    <w:rsid w:val="003915F9"/>
    <w:rsid w:val="003924F4"/>
    <w:rsid w:val="00393045"/>
    <w:rsid w:val="00393DAF"/>
    <w:rsid w:val="0039607E"/>
    <w:rsid w:val="00397191"/>
    <w:rsid w:val="003A26BC"/>
    <w:rsid w:val="003A274E"/>
    <w:rsid w:val="003A4ADC"/>
    <w:rsid w:val="003A6A4B"/>
    <w:rsid w:val="003B0CB4"/>
    <w:rsid w:val="003B29ED"/>
    <w:rsid w:val="003B3733"/>
    <w:rsid w:val="003B477E"/>
    <w:rsid w:val="003B6444"/>
    <w:rsid w:val="003B6F34"/>
    <w:rsid w:val="003C00B0"/>
    <w:rsid w:val="003C0387"/>
    <w:rsid w:val="003C30CF"/>
    <w:rsid w:val="003C64A1"/>
    <w:rsid w:val="003D079E"/>
    <w:rsid w:val="003D1D7F"/>
    <w:rsid w:val="003D5CCB"/>
    <w:rsid w:val="003D64D3"/>
    <w:rsid w:val="003E0B2F"/>
    <w:rsid w:val="003E0E65"/>
    <w:rsid w:val="003E2557"/>
    <w:rsid w:val="003E2AD4"/>
    <w:rsid w:val="003E2C82"/>
    <w:rsid w:val="003E3335"/>
    <w:rsid w:val="003E46DB"/>
    <w:rsid w:val="003E5976"/>
    <w:rsid w:val="003E6031"/>
    <w:rsid w:val="003E6451"/>
    <w:rsid w:val="003E7AAD"/>
    <w:rsid w:val="003F555D"/>
    <w:rsid w:val="003F7517"/>
    <w:rsid w:val="00402809"/>
    <w:rsid w:val="00403D92"/>
    <w:rsid w:val="0040757A"/>
    <w:rsid w:val="00412D1C"/>
    <w:rsid w:val="00413578"/>
    <w:rsid w:val="00415B38"/>
    <w:rsid w:val="00416834"/>
    <w:rsid w:val="004177F7"/>
    <w:rsid w:val="0042356A"/>
    <w:rsid w:val="00423C88"/>
    <w:rsid w:val="00426199"/>
    <w:rsid w:val="0042675A"/>
    <w:rsid w:val="0042698B"/>
    <w:rsid w:val="00426EC8"/>
    <w:rsid w:val="00427E18"/>
    <w:rsid w:val="004305C0"/>
    <w:rsid w:val="0043090B"/>
    <w:rsid w:val="004365DD"/>
    <w:rsid w:val="00443D4E"/>
    <w:rsid w:val="0044405D"/>
    <w:rsid w:val="004459AB"/>
    <w:rsid w:val="00445DEA"/>
    <w:rsid w:val="00446C18"/>
    <w:rsid w:val="00446EF8"/>
    <w:rsid w:val="004474BD"/>
    <w:rsid w:val="00450317"/>
    <w:rsid w:val="00450881"/>
    <w:rsid w:val="00451327"/>
    <w:rsid w:val="00455A05"/>
    <w:rsid w:val="00457938"/>
    <w:rsid w:val="00460CAF"/>
    <w:rsid w:val="00460E11"/>
    <w:rsid w:val="00461062"/>
    <w:rsid w:val="004662DD"/>
    <w:rsid w:val="00467020"/>
    <w:rsid w:val="0047152F"/>
    <w:rsid w:val="00473AC1"/>
    <w:rsid w:val="0047482C"/>
    <w:rsid w:val="00474B34"/>
    <w:rsid w:val="00474B35"/>
    <w:rsid w:val="00475D88"/>
    <w:rsid w:val="00477697"/>
    <w:rsid w:val="00477F13"/>
    <w:rsid w:val="00481CEE"/>
    <w:rsid w:val="00482351"/>
    <w:rsid w:val="004828E6"/>
    <w:rsid w:val="0048293E"/>
    <w:rsid w:val="00485A42"/>
    <w:rsid w:val="0049208E"/>
    <w:rsid w:val="00492561"/>
    <w:rsid w:val="00496745"/>
    <w:rsid w:val="004A3D71"/>
    <w:rsid w:val="004A3F3E"/>
    <w:rsid w:val="004B1A7D"/>
    <w:rsid w:val="004B22EB"/>
    <w:rsid w:val="004B442D"/>
    <w:rsid w:val="004B6F94"/>
    <w:rsid w:val="004B7213"/>
    <w:rsid w:val="004C5040"/>
    <w:rsid w:val="004C750C"/>
    <w:rsid w:val="004D3271"/>
    <w:rsid w:val="004D36A4"/>
    <w:rsid w:val="004D639D"/>
    <w:rsid w:val="004E028C"/>
    <w:rsid w:val="004E25AE"/>
    <w:rsid w:val="004E3694"/>
    <w:rsid w:val="004E532D"/>
    <w:rsid w:val="004E6A6E"/>
    <w:rsid w:val="004E7A0F"/>
    <w:rsid w:val="004F28B4"/>
    <w:rsid w:val="004F44AB"/>
    <w:rsid w:val="004F6574"/>
    <w:rsid w:val="004F7AAC"/>
    <w:rsid w:val="0050170E"/>
    <w:rsid w:val="005024DB"/>
    <w:rsid w:val="00502A19"/>
    <w:rsid w:val="005034C3"/>
    <w:rsid w:val="005036E4"/>
    <w:rsid w:val="00503B6E"/>
    <w:rsid w:val="005047D2"/>
    <w:rsid w:val="005055C1"/>
    <w:rsid w:val="00507930"/>
    <w:rsid w:val="005108E0"/>
    <w:rsid w:val="00511FE5"/>
    <w:rsid w:val="005122B5"/>
    <w:rsid w:val="005126F0"/>
    <w:rsid w:val="00512919"/>
    <w:rsid w:val="005148AF"/>
    <w:rsid w:val="005164DB"/>
    <w:rsid w:val="00517170"/>
    <w:rsid w:val="0052711B"/>
    <w:rsid w:val="00530483"/>
    <w:rsid w:val="005310FF"/>
    <w:rsid w:val="00531494"/>
    <w:rsid w:val="005348F3"/>
    <w:rsid w:val="005414BC"/>
    <w:rsid w:val="00541AFA"/>
    <w:rsid w:val="0054312C"/>
    <w:rsid w:val="00543900"/>
    <w:rsid w:val="00544112"/>
    <w:rsid w:val="00546DB5"/>
    <w:rsid w:val="00547D81"/>
    <w:rsid w:val="00550947"/>
    <w:rsid w:val="00555AEB"/>
    <w:rsid w:val="0056022D"/>
    <w:rsid w:val="00564FF8"/>
    <w:rsid w:val="00566AF3"/>
    <w:rsid w:val="00570923"/>
    <w:rsid w:val="0057507D"/>
    <w:rsid w:val="00576F84"/>
    <w:rsid w:val="00580FD3"/>
    <w:rsid w:val="0058398F"/>
    <w:rsid w:val="005841FF"/>
    <w:rsid w:val="00584A64"/>
    <w:rsid w:val="005854CA"/>
    <w:rsid w:val="00586136"/>
    <w:rsid w:val="00590023"/>
    <w:rsid w:val="00593C90"/>
    <w:rsid w:val="00596EC6"/>
    <w:rsid w:val="005A1291"/>
    <w:rsid w:val="005A2000"/>
    <w:rsid w:val="005A230D"/>
    <w:rsid w:val="005A4D09"/>
    <w:rsid w:val="005A575D"/>
    <w:rsid w:val="005A6641"/>
    <w:rsid w:val="005A6ED4"/>
    <w:rsid w:val="005B0E93"/>
    <w:rsid w:val="005B1847"/>
    <w:rsid w:val="005B2821"/>
    <w:rsid w:val="005B322F"/>
    <w:rsid w:val="005B5B82"/>
    <w:rsid w:val="005C0A59"/>
    <w:rsid w:val="005C22A2"/>
    <w:rsid w:val="005C32CC"/>
    <w:rsid w:val="005C69C4"/>
    <w:rsid w:val="005C6B42"/>
    <w:rsid w:val="005D0D7F"/>
    <w:rsid w:val="005D1FCC"/>
    <w:rsid w:val="005D2D08"/>
    <w:rsid w:val="005D59E4"/>
    <w:rsid w:val="005D5F88"/>
    <w:rsid w:val="005D7976"/>
    <w:rsid w:val="005E0777"/>
    <w:rsid w:val="005E15AF"/>
    <w:rsid w:val="005E34EE"/>
    <w:rsid w:val="005E356F"/>
    <w:rsid w:val="005E46AB"/>
    <w:rsid w:val="005E55D6"/>
    <w:rsid w:val="005E5BCF"/>
    <w:rsid w:val="005E770E"/>
    <w:rsid w:val="005F5189"/>
    <w:rsid w:val="005F5F9D"/>
    <w:rsid w:val="005F6A84"/>
    <w:rsid w:val="00600784"/>
    <w:rsid w:val="00602117"/>
    <w:rsid w:val="006033A5"/>
    <w:rsid w:val="0060500F"/>
    <w:rsid w:val="00605D42"/>
    <w:rsid w:val="006117CD"/>
    <w:rsid w:val="006146D9"/>
    <w:rsid w:val="00615852"/>
    <w:rsid w:val="00615F93"/>
    <w:rsid w:val="00616E12"/>
    <w:rsid w:val="0061719B"/>
    <w:rsid w:val="00620273"/>
    <w:rsid w:val="0062106D"/>
    <w:rsid w:val="00621602"/>
    <w:rsid w:val="0062198C"/>
    <w:rsid w:val="00626069"/>
    <w:rsid w:val="0062616F"/>
    <w:rsid w:val="006302AC"/>
    <w:rsid w:val="00634705"/>
    <w:rsid w:val="00635671"/>
    <w:rsid w:val="00635C9E"/>
    <w:rsid w:val="00637069"/>
    <w:rsid w:val="00641075"/>
    <w:rsid w:val="00641355"/>
    <w:rsid w:val="00642035"/>
    <w:rsid w:val="006421D5"/>
    <w:rsid w:val="0064248C"/>
    <w:rsid w:val="0064362D"/>
    <w:rsid w:val="006437BE"/>
    <w:rsid w:val="00643E62"/>
    <w:rsid w:val="006468E2"/>
    <w:rsid w:val="00646BBD"/>
    <w:rsid w:val="00647D2E"/>
    <w:rsid w:val="00656347"/>
    <w:rsid w:val="00657B80"/>
    <w:rsid w:val="006616CD"/>
    <w:rsid w:val="00662C96"/>
    <w:rsid w:val="00665D03"/>
    <w:rsid w:val="00667BA7"/>
    <w:rsid w:val="006758CE"/>
    <w:rsid w:val="00680A2E"/>
    <w:rsid w:val="00682268"/>
    <w:rsid w:val="0068779D"/>
    <w:rsid w:val="006902D2"/>
    <w:rsid w:val="00694609"/>
    <w:rsid w:val="0069638E"/>
    <w:rsid w:val="006A17C3"/>
    <w:rsid w:val="006A35E9"/>
    <w:rsid w:val="006A3A52"/>
    <w:rsid w:val="006A54B3"/>
    <w:rsid w:val="006A6672"/>
    <w:rsid w:val="006B0A4B"/>
    <w:rsid w:val="006B0D6E"/>
    <w:rsid w:val="006B2A03"/>
    <w:rsid w:val="006B2FAB"/>
    <w:rsid w:val="006B50B1"/>
    <w:rsid w:val="006B5A50"/>
    <w:rsid w:val="006B788D"/>
    <w:rsid w:val="006C283F"/>
    <w:rsid w:val="006C3A05"/>
    <w:rsid w:val="006C499C"/>
    <w:rsid w:val="006C6438"/>
    <w:rsid w:val="006D17B7"/>
    <w:rsid w:val="006D28A5"/>
    <w:rsid w:val="006D5CF6"/>
    <w:rsid w:val="006D6301"/>
    <w:rsid w:val="006D7C0D"/>
    <w:rsid w:val="006E079C"/>
    <w:rsid w:val="006E1FF4"/>
    <w:rsid w:val="006E376E"/>
    <w:rsid w:val="006E3C74"/>
    <w:rsid w:val="006E52DC"/>
    <w:rsid w:val="006E56C7"/>
    <w:rsid w:val="006F2032"/>
    <w:rsid w:val="006F3857"/>
    <w:rsid w:val="006F3E68"/>
    <w:rsid w:val="006F5CE9"/>
    <w:rsid w:val="006F7D60"/>
    <w:rsid w:val="006F7EEF"/>
    <w:rsid w:val="007024C8"/>
    <w:rsid w:val="00703832"/>
    <w:rsid w:val="007040FE"/>
    <w:rsid w:val="007048F2"/>
    <w:rsid w:val="0070758F"/>
    <w:rsid w:val="00714731"/>
    <w:rsid w:val="0071706E"/>
    <w:rsid w:val="00721765"/>
    <w:rsid w:val="007222FF"/>
    <w:rsid w:val="00723F98"/>
    <w:rsid w:val="00724579"/>
    <w:rsid w:val="00724875"/>
    <w:rsid w:val="00724A8D"/>
    <w:rsid w:val="00726889"/>
    <w:rsid w:val="007303BE"/>
    <w:rsid w:val="007331DF"/>
    <w:rsid w:val="00735B39"/>
    <w:rsid w:val="00736FB2"/>
    <w:rsid w:val="007404D3"/>
    <w:rsid w:val="007432DD"/>
    <w:rsid w:val="00743485"/>
    <w:rsid w:val="0074483F"/>
    <w:rsid w:val="00745291"/>
    <w:rsid w:val="00746B00"/>
    <w:rsid w:val="007515D9"/>
    <w:rsid w:val="00755F97"/>
    <w:rsid w:val="0075660C"/>
    <w:rsid w:val="00757108"/>
    <w:rsid w:val="00766E08"/>
    <w:rsid w:val="00767F46"/>
    <w:rsid w:val="00771E5B"/>
    <w:rsid w:val="0077431B"/>
    <w:rsid w:val="00780311"/>
    <w:rsid w:val="00781876"/>
    <w:rsid w:val="00782AED"/>
    <w:rsid w:val="0078454E"/>
    <w:rsid w:val="00784BF0"/>
    <w:rsid w:val="00785DF0"/>
    <w:rsid w:val="00790C78"/>
    <w:rsid w:val="0079378A"/>
    <w:rsid w:val="007937E4"/>
    <w:rsid w:val="00797125"/>
    <w:rsid w:val="007974F4"/>
    <w:rsid w:val="007977D3"/>
    <w:rsid w:val="007A36E8"/>
    <w:rsid w:val="007A4AF1"/>
    <w:rsid w:val="007A691E"/>
    <w:rsid w:val="007A71D4"/>
    <w:rsid w:val="007B2F5B"/>
    <w:rsid w:val="007B70E9"/>
    <w:rsid w:val="007B72DF"/>
    <w:rsid w:val="007C041E"/>
    <w:rsid w:val="007C1F58"/>
    <w:rsid w:val="007C2029"/>
    <w:rsid w:val="007C49F0"/>
    <w:rsid w:val="007C5581"/>
    <w:rsid w:val="007C6B43"/>
    <w:rsid w:val="007D0C0C"/>
    <w:rsid w:val="007D1818"/>
    <w:rsid w:val="007D2655"/>
    <w:rsid w:val="007D2E26"/>
    <w:rsid w:val="007D337A"/>
    <w:rsid w:val="007D7F4A"/>
    <w:rsid w:val="007E0019"/>
    <w:rsid w:val="007E2309"/>
    <w:rsid w:val="007E34D6"/>
    <w:rsid w:val="007E6CA5"/>
    <w:rsid w:val="007E70D9"/>
    <w:rsid w:val="007E71BB"/>
    <w:rsid w:val="007E7262"/>
    <w:rsid w:val="007E76CA"/>
    <w:rsid w:val="007E781C"/>
    <w:rsid w:val="007F225E"/>
    <w:rsid w:val="007F323C"/>
    <w:rsid w:val="007F7D95"/>
    <w:rsid w:val="00800526"/>
    <w:rsid w:val="00804A41"/>
    <w:rsid w:val="00813514"/>
    <w:rsid w:val="00813F6A"/>
    <w:rsid w:val="00814F3D"/>
    <w:rsid w:val="0082156C"/>
    <w:rsid w:val="00822000"/>
    <w:rsid w:val="00824564"/>
    <w:rsid w:val="00833F5A"/>
    <w:rsid w:val="00834301"/>
    <w:rsid w:val="00834A6C"/>
    <w:rsid w:val="00834B40"/>
    <w:rsid w:val="00834E31"/>
    <w:rsid w:val="00835082"/>
    <w:rsid w:val="0083533B"/>
    <w:rsid w:val="008378E5"/>
    <w:rsid w:val="008418EE"/>
    <w:rsid w:val="00842395"/>
    <w:rsid w:val="008442B3"/>
    <w:rsid w:val="00845524"/>
    <w:rsid w:val="00845FD7"/>
    <w:rsid w:val="00852A85"/>
    <w:rsid w:val="00855066"/>
    <w:rsid w:val="0085624E"/>
    <w:rsid w:val="00856EB1"/>
    <w:rsid w:val="00861A47"/>
    <w:rsid w:val="0086233C"/>
    <w:rsid w:val="008646F9"/>
    <w:rsid w:val="008713A4"/>
    <w:rsid w:val="00872AD2"/>
    <w:rsid w:val="00872DF6"/>
    <w:rsid w:val="00873E59"/>
    <w:rsid w:val="00881E56"/>
    <w:rsid w:val="00883F03"/>
    <w:rsid w:val="00885250"/>
    <w:rsid w:val="00886A49"/>
    <w:rsid w:val="00887D02"/>
    <w:rsid w:val="008A2D31"/>
    <w:rsid w:val="008A2E01"/>
    <w:rsid w:val="008B70DF"/>
    <w:rsid w:val="008B7497"/>
    <w:rsid w:val="008B774C"/>
    <w:rsid w:val="008B7B27"/>
    <w:rsid w:val="008C0407"/>
    <w:rsid w:val="008C0E58"/>
    <w:rsid w:val="008C29FA"/>
    <w:rsid w:val="008C33D9"/>
    <w:rsid w:val="008C3FF8"/>
    <w:rsid w:val="008C5639"/>
    <w:rsid w:val="008D090D"/>
    <w:rsid w:val="008D1238"/>
    <w:rsid w:val="008D251B"/>
    <w:rsid w:val="008D352E"/>
    <w:rsid w:val="008D7314"/>
    <w:rsid w:val="008E2B91"/>
    <w:rsid w:val="008E2DD6"/>
    <w:rsid w:val="008E37F0"/>
    <w:rsid w:val="008E5AC5"/>
    <w:rsid w:val="008E6A35"/>
    <w:rsid w:val="008F08CB"/>
    <w:rsid w:val="008F291E"/>
    <w:rsid w:val="008F2F12"/>
    <w:rsid w:val="008F45BB"/>
    <w:rsid w:val="008F47B0"/>
    <w:rsid w:val="008F6120"/>
    <w:rsid w:val="008F63C7"/>
    <w:rsid w:val="008F7AED"/>
    <w:rsid w:val="00903372"/>
    <w:rsid w:val="0090389E"/>
    <w:rsid w:val="00917A48"/>
    <w:rsid w:val="00917C6D"/>
    <w:rsid w:val="00920228"/>
    <w:rsid w:val="0092445B"/>
    <w:rsid w:val="009269E9"/>
    <w:rsid w:val="0092787F"/>
    <w:rsid w:val="009302C6"/>
    <w:rsid w:val="00930FB0"/>
    <w:rsid w:val="009315DF"/>
    <w:rsid w:val="00946F4E"/>
    <w:rsid w:val="00950A5C"/>
    <w:rsid w:val="009523A9"/>
    <w:rsid w:val="00952E8A"/>
    <w:rsid w:val="009574A2"/>
    <w:rsid w:val="009606AD"/>
    <w:rsid w:val="009609EB"/>
    <w:rsid w:val="00961F8D"/>
    <w:rsid w:val="00962657"/>
    <w:rsid w:val="00964A5C"/>
    <w:rsid w:val="009704DD"/>
    <w:rsid w:val="00971A2B"/>
    <w:rsid w:val="0097204C"/>
    <w:rsid w:val="009724C3"/>
    <w:rsid w:val="00972BA6"/>
    <w:rsid w:val="00972E42"/>
    <w:rsid w:val="00972F7F"/>
    <w:rsid w:val="009733A2"/>
    <w:rsid w:val="009733D1"/>
    <w:rsid w:val="00973748"/>
    <w:rsid w:val="00974285"/>
    <w:rsid w:val="00974EFF"/>
    <w:rsid w:val="00976124"/>
    <w:rsid w:val="00977527"/>
    <w:rsid w:val="009805B5"/>
    <w:rsid w:val="0098087A"/>
    <w:rsid w:val="00981B47"/>
    <w:rsid w:val="009827BA"/>
    <w:rsid w:val="00985128"/>
    <w:rsid w:val="009905DE"/>
    <w:rsid w:val="009909B8"/>
    <w:rsid w:val="00990A06"/>
    <w:rsid w:val="0099523D"/>
    <w:rsid w:val="00996DFF"/>
    <w:rsid w:val="009970A2"/>
    <w:rsid w:val="00997B4F"/>
    <w:rsid w:val="009A0EB4"/>
    <w:rsid w:val="009A442A"/>
    <w:rsid w:val="009A473F"/>
    <w:rsid w:val="009A7276"/>
    <w:rsid w:val="009A7277"/>
    <w:rsid w:val="009B1BC4"/>
    <w:rsid w:val="009B28AB"/>
    <w:rsid w:val="009B4647"/>
    <w:rsid w:val="009B4A1E"/>
    <w:rsid w:val="009B759D"/>
    <w:rsid w:val="009B7FB6"/>
    <w:rsid w:val="009C0D4F"/>
    <w:rsid w:val="009C0E5D"/>
    <w:rsid w:val="009C1E04"/>
    <w:rsid w:val="009C4CDD"/>
    <w:rsid w:val="009C5082"/>
    <w:rsid w:val="009C72BB"/>
    <w:rsid w:val="009D10CD"/>
    <w:rsid w:val="009D125E"/>
    <w:rsid w:val="009D1925"/>
    <w:rsid w:val="009D718A"/>
    <w:rsid w:val="009E19ED"/>
    <w:rsid w:val="009E244F"/>
    <w:rsid w:val="009E6F1E"/>
    <w:rsid w:val="009E7129"/>
    <w:rsid w:val="009E7F7A"/>
    <w:rsid w:val="009F5172"/>
    <w:rsid w:val="009F58FE"/>
    <w:rsid w:val="00A013EC"/>
    <w:rsid w:val="00A02097"/>
    <w:rsid w:val="00A030FE"/>
    <w:rsid w:val="00A0343E"/>
    <w:rsid w:val="00A04455"/>
    <w:rsid w:val="00A068AC"/>
    <w:rsid w:val="00A06A67"/>
    <w:rsid w:val="00A1248C"/>
    <w:rsid w:val="00A1272B"/>
    <w:rsid w:val="00A136A5"/>
    <w:rsid w:val="00A14B3B"/>
    <w:rsid w:val="00A15120"/>
    <w:rsid w:val="00A20498"/>
    <w:rsid w:val="00A20EBA"/>
    <w:rsid w:val="00A27618"/>
    <w:rsid w:val="00A30898"/>
    <w:rsid w:val="00A31812"/>
    <w:rsid w:val="00A3449F"/>
    <w:rsid w:val="00A36265"/>
    <w:rsid w:val="00A37C41"/>
    <w:rsid w:val="00A404C7"/>
    <w:rsid w:val="00A40C65"/>
    <w:rsid w:val="00A43E0D"/>
    <w:rsid w:val="00A464EB"/>
    <w:rsid w:val="00A47C21"/>
    <w:rsid w:val="00A54B01"/>
    <w:rsid w:val="00A57637"/>
    <w:rsid w:val="00A61264"/>
    <w:rsid w:val="00A63166"/>
    <w:rsid w:val="00A660A7"/>
    <w:rsid w:val="00A66A88"/>
    <w:rsid w:val="00A67B24"/>
    <w:rsid w:val="00A735A8"/>
    <w:rsid w:val="00A736A4"/>
    <w:rsid w:val="00A74675"/>
    <w:rsid w:val="00A7609B"/>
    <w:rsid w:val="00A76CBC"/>
    <w:rsid w:val="00A77718"/>
    <w:rsid w:val="00A823E0"/>
    <w:rsid w:val="00A84167"/>
    <w:rsid w:val="00A84BA9"/>
    <w:rsid w:val="00A85A69"/>
    <w:rsid w:val="00A90D3B"/>
    <w:rsid w:val="00A931A7"/>
    <w:rsid w:val="00A932D0"/>
    <w:rsid w:val="00A938BA"/>
    <w:rsid w:val="00A9641B"/>
    <w:rsid w:val="00A970C4"/>
    <w:rsid w:val="00AA0F75"/>
    <w:rsid w:val="00AA10E2"/>
    <w:rsid w:val="00AA21C5"/>
    <w:rsid w:val="00AA3DB8"/>
    <w:rsid w:val="00AA4421"/>
    <w:rsid w:val="00AA57AA"/>
    <w:rsid w:val="00AA61A4"/>
    <w:rsid w:val="00AA6D1B"/>
    <w:rsid w:val="00AA6E6A"/>
    <w:rsid w:val="00AB1D1D"/>
    <w:rsid w:val="00AB31D3"/>
    <w:rsid w:val="00AB3CA4"/>
    <w:rsid w:val="00AB53AF"/>
    <w:rsid w:val="00AB592F"/>
    <w:rsid w:val="00AB5AC4"/>
    <w:rsid w:val="00AB5DF7"/>
    <w:rsid w:val="00AC0032"/>
    <w:rsid w:val="00AC1D18"/>
    <w:rsid w:val="00AC330E"/>
    <w:rsid w:val="00AC4F32"/>
    <w:rsid w:val="00AC5BFF"/>
    <w:rsid w:val="00AC729B"/>
    <w:rsid w:val="00AD298F"/>
    <w:rsid w:val="00AD3BA1"/>
    <w:rsid w:val="00AD6790"/>
    <w:rsid w:val="00AE0B29"/>
    <w:rsid w:val="00AE0E2E"/>
    <w:rsid w:val="00AE2851"/>
    <w:rsid w:val="00AE33EE"/>
    <w:rsid w:val="00AE6CCB"/>
    <w:rsid w:val="00AE701B"/>
    <w:rsid w:val="00AF16F7"/>
    <w:rsid w:val="00AF2FE2"/>
    <w:rsid w:val="00AF58D6"/>
    <w:rsid w:val="00AF6026"/>
    <w:rsid w:val="00AF6515"/>
    <w:rsid w:val="00B03AC0"/>
    <w:rsid w:val="00B05599"/>
    <w:rsid w:val="00B07D1C"/>
    <w:rsid w:val="00B12BC0"/>
    <w:rsid w:val="00B13116"/>
    <w:rsid w:val="00B15517"/>
    <w:rsid w:val="00B15BE6"/>
    <w:rsid w:val="00B17EF6"/>
    <w:rsid w:val="00B2210E"/>
    <w:rsid w:val="00B22BB4"/>
    <w:rsid w:val="00B24006"/>
    <w:rsid w:val="00B254BC"/>
    <w:rsid w:val="00B263B7"/>
    <w:rsid w:val="00B263CA"/>
    <w:rsid w:val="00B27F30"/>
    <w:rsid w:val="00B3243C"/>
    <w:rsid w:val="00B3372C"/>
    <w:rsid w:val="00B3754E"/>
    <w:rsid w:val="00B40FB3"/>
    <w:rsid w:val="00B4212D"/>
    <w:rsid w:val="00B4623E"/>
    <w:rsid w:val="00B50666"/>
    <w:rsid w:val="00B5247E"/>
    <w:rsid w:val="00B53673"/>
    <w:rsid w:val="00B5378A"/>
    <w:rsid w:val="00B56089"/>
    <w:rsid w:val="00B56AD7"/>
    <w:rsid w:val="00B6582B"/>
    <w:rsid w:val="00B7037F"/>
    <w:rsid w:val="00B718F6"/>
    <w:rsid w:val="00B7228D"/>
    <w:rsid w:val="00B72C5C"/>
    <w:rsid w:val="00B74D3F"/>
    <w:rsid w:val="00B76B9C"/>
    <w:rsid w:val="00B76FB2"/>
    <w:rsid w:val="00B83074"/>
    <w:rsid w:val="00B83272"/>
    <w:rsid w:val="00B83F7D"/>
    <w:rsid w:val="00B855A2"/>
    <w:rsid w:val="00B86A87"/>
    <w:rsid w:val="00B8755D"/>
    <w:rsid w:val="00B90131"/>
    <w:rsid w:val="00B90584"/>
    <w:rsid w:val="00B909B2"/>
    <w:rsid w:val="00B930B2"/>
    <w:rsid w:val="00B93825"/>
    <w:rsid w:val="00B94071"/>
    <w:rsid w:val="00BA0926"/>
    <w:rsid w:val="00BA3463"/>
    <w:rsid w:val="00BA41E8"/>
    <w:rsid w:val="00BA78CC"/>
    <w:rsid w:val="00BB2368"/>
    <w:rsid w:val="00BB49CD"/>
    <w:rsid w:val="00BB6E89"/>
    <w:rsid w:val="00BB6F19"/>
    <w:rsid w:val="00BC07B0"/>
    <w:rsid w:val="00BC08C5"/>
    <w:rsid w:val="00BC0C1B"/>
    <w:rsid w:val="00BC4A52"/>
    <w:rsid w:val="00BC6615"/>
    <w:rsid w:val="00BC6985"/>
    <w:rsid w:val="00BD600F"/>
    <w:rsid w:val="00BE7E40"/>
    <w:rsid w:val="00BE7FCD"/>
    <w:rsid w:val="00BF0CA8"/>
    <w:rsid w:val="00BF1824"/>
    <w:rsid w:val="00BF2F16"/>
    <w:rsid w:val="00BF3C27"/>
    <w:rsid w:val="00BF6AF7"/>
    <w:rsid w:val="00C007F4"/>
    <w:rsid w:val="00C0187B"/>
    <w:rsid w:val="00C12598"/>
    <w:rsid w:val="00C2537B"/>
    <w:rsid w:val="00C256AB"/>
    <w:rsid w:val="00C25B3C"/>
    <w:rsid w:val="00C2619E"/>
    <w:rsid w:val="00C31877"/>
    <w:rsid w:val="00C33426"/>
    <w:rsid w:val="00C33CBC"/>
    <w:rsid w:val="00C35EB4"/>
    <w:rsid w:val="00C37272"/>
    <w:rsid w:val="00C4092B"/>
    <w:rsid w:val="00C44618"/>
    <w:rsid w:val="00C46A96"/>
    <w:rsid w:val="00C500D4"/>
    <w:rsid w:val="00C51987"/>
    <w:rsid w:val="00C52280"/>
    <w:rsid w:val="00C55374"/>
    <w:rsid w:val="00C60D7F"/>
    <w:rsid w:val="00C61A70"/>
    <w:rsid w:val="00C63DCF"/>
    <w:rsid w:val="00C64014"/>
    <w:rsid w:val="00C67CFB"/>
    <w:rsid w:val="00C72167"/>
    <w:rsid w:val="00C74201"/>
    <w:rsid w:val="00C7585F"/>
    <w:rsid w:val="00C761DC"/>
    <w:rsid w:val="00C76E70"/>
    <w:rsid w:val="00C8363F"/>
    <w:rsid w:val="00C8673E"/>
    <w:rsid w:val="00C9512E"/>
    <w:rsid w:val="00C972B6"/>
    <w:rsid w:val="00CA685F"/>
    <w:rsid w:val="00CB374D"/>
    <w:rsid w:val="00CB471D"/>
    <w:rsid w:val="00CB6AC4"/>
    <w:rsid w:val="00CC1001"/>
    <w:rsid w:val="00CC1F9A"/>
    <w:rsid w:val="00CC2960"/>
    <w:rsid w:val="00CC7F11"/>
    <w:rsid w:val="00CE1193"/>
    <w:rsid w:val="00CE1596"/>
    <w:rsid w:val="00CE6CFC"/>
    <w:rsid w:val="00CE7B73"/>
    <w:rsid w:val="00CF0196"/>
    <w:rsid w:val="00CF0D7C"/>
    <w:rsid w:val="00CF0F2E"/>
    <w:rsid w:val="00CF0FDC"/>
    <w:rsid w:val="00CF205B"/>
    <w:rsid w:val="00CF2EE0"/>
    <w:rsid w:val="00CF4E98"/>
    <w:rsid w:val="00CF5162"/>
    <w:rsid w:val="00D03B9F"/>
    <w:rsid w:val="00D04432"/>
    <w:rsid w:val="00D059F7"/>
    <w:rsid w:val="00D05E82"/>
    <w:rsid w:val="00D064CF"/>
    <w:rsid w:val="00D06EBF"/>
    <w:rsid w:val="00D07F03"/>
    <w:rsid w:val="00D124D8"/>
    <w:rsid w:val="00D14FFF"/>
    <w:rsid w:val="00D151E2"/>
    <w:rsid w:val="00D15C22"/>
    <w:rsid w:val="00D16A4B"/>
    <w:rsid w:val="00D229F0"/>
    <w:rsid w:val="00D26526"/>
    <w:rsid w:val="00D277F7"/>
    <w:rsid w:val="00D30446"/>
    <w:rsid w:val="00D3137C"/>
    <w:rsid w:val="00D33C12"/>
    <w:rsid w:val="00D34B0A"/>
    <w:rsid w:val="00D3766E"/>
    <w:rsid w:val="00D37878"/>
    <w:rsid w:val="00D41983"/>
    <w:rsid w:val="00D41E7F"/>
    <w:rsid w:val="00D53F51"/>
    <w:rsid w:val="00D547DB"/>
    <w:rsid w:val="00D55731"/>
    <w:rsid w:val="00D57DA2"/>
    <w:rsid w:val="00D62194"/>
    <w:rsid w:val="00D622CC"/>
    <w:rsid w:val="00D63689"/>
    <w:rsid w:val="00D72C0A"/>
    <w:rsid w:val="00D7332F"/>
    <w:rsid w:val="00D752AF"/>
    <w:rsid w:val="00D80321"/>
    <w:rsid w:val="00D95562"/>
    <w:rsid w:val="00DA217F"/>
    <w:rsid w:val="00DA68C3"/>
    <w:rsid w:val="00DB08F4"/>
    <w:rsid w:val="00DB71B0"/>
    <w:rsid w:val="00DB7FFB"/>
    <w:rsid w:val="00DC1A00"/>
    <w:rsid w:val="00DC3A36"/>
    <w:rsid w:val="00DC6759"/>
    <w:rsid w:val="00DD1758"/>
    <w:rsid w:val="00DD3654"/>
    <w:rsid w:val="00DD3A29"/>
    <w:rsid w:val="00DE212A"/>
    <w:rsid w:val="00DE41A3"/>
    <w:rsid w:val="00DE438C"/>
    <w:rsid w:val="00DE59C4"/>
    <w:rsid w:val="00DF0D6D"/>
    <w:rsid w:val="00DF1800"/>
    <w:rsid w:val="00DF4A2C"/>
    <w:rsid w:val="00DF4EB4"/>
    <w:rsid w:val="00DF5FB6"/>
    <w:rsid w:val="00E01469"/>
    <w:rsid w:val="00E02EFE"/>
    <w:rsid w:val="00E061CB"/>
    <w:rsid w:val="00E12AB6"/>
    <w:rsid w:val="00E1375A"/>
    <w:rsid w:val="00E15A3A"/>
    <w:rsid w:val="00E174A0"/>
    <w:rsid w:val="00E17BBE"/>
    <w:rsid w:val="00E218EC"/>
    <w:rsid w:val="00E304AC"/>
    <w:rsid w:val="00E33F09"/>
    <w:rsid w:val="00E34835"/>
    <w:rsid w:val="00E40BF0"/>
    <w:rsid w:val="00E427BE"/>
    <w:rsid w:val="00E4687B"/>
    <w:rsid w:val="00E54881"/>
    <w:rsid w:val="00E63A00"/>
    <w:rsid w:val="00E65643"/>
    <w:rsid w:val="00E6738B"/>
    <w:rsid w:val="00E673DE"/>
    <w:rsid w:val="00E67BF3"/>
    <w:rsid w:val="00E720FA"/>
    <w:rsid w:val="00E7297A"/>
    <w:rsid w:val="00E73391"/>
    <w:rsid w:val="00E73D4A"/>
    <w:rsid w:val="00E77AE0"/>
    <w:rsid w:val="00E80FA9"/>
    <w:rsid w:val="00E81C9A"/>
    <w:rsid w:val="00E83BE7"/>
    <w:rsid w:val="00E85F67"/>
    <w:rsid w:val="00E8767E"/>
    <w:rsid w:val="00E90271"/>
    <w:rsid w:val="00E908D9"/>
    <w:rsid w:val="00E92293"/>
    <w:rsid w:val="00E922F8"/>
    <w:rsid w:val="00E92709"/>
    <w:rsid w:val="00EA0BBE"/>
    <w:rsid w:val="00EA375E"/>
    <w:rsid w:val="00EA61D3"/>
    <w:rsid w:val="00EA6CB4"/>
    <w:rsid w:val="00EB2B91"/>
    <w:rsid w:val="00EB2DA0"/>
    <w:rsid w:val="00EB3DD0"/>
    <w:rsid w:val="00EB6476"/>
    <w:rsid w:val="00EC021A"/>
    <w:rsid w:val="00EC2098"/>
    <w:rsid w:val="00EC3431"/>
    <w:rsid w:val="00EC3DED"/>
    <w:rsid w:val="00EC42BD"/>
    <w:rsid w:val="00EC5263"/>
    <w:rsid w:val="00ED2286"/>
    <w:rsid w:val="00ED2D1F"/>
    <w:rsid w:val="00ED6337"/>
    <w:rsid w:val="00EE1C34"/>
    <w:rsid w:val="00EE590E"/>
    <w:rsid w:val="00EE7848"/>
    <w:rsid w:val="00EE7FEC"/>
    <w:rsid w:val="00EF014C"/>
    <w:rsid w:val="00EF1ECD"/>
    <w:rsid w:val="00EF2A1F"/>
    <w:rsid w:val="00EF5A73"/>
    <w:rsid w:val="00EF5C1F"/>
    <w:rsid w:val="00EF5E5D"/>
    <w:rsid w:val="00EF640D"/>
    <w:rsid w:val="00F01172"/>
    <w:rsid w:val="00F023A7"/>
    <w:rsid w:val="00F0740D"/>
    <w:rsid w:val="00F1159D"/>
    <w:rsid w:val="00F11950"/>
    <w:rsid w:val="00F11DA2"/>
    <w:rsid w:val="00F1379D"/>
    <w:rsid w:val="00F14411"/>
    <w:rsid w:val="00F154C8"/>
    <w:rsid w:val="00F20E12"/>
    <w:rsid w:val="00F2495F"/>
    <w:rsid w:val="00F26A03"/>
    <w:rsid w:val="00F31289"/>
    <w:rsid w:val="00F34FB0"/>
    <w:rsid w:val="00F35825"/>
    <w:rsid w:val="00F424E1"/>
    <w:rsid w:val="00F44085"/>
    <w:rsid w:val="00F44AEC"/>
    <w:rsid w:val="00F454FD"/>
    <w:rsid w:val="00F46682"/>
    <w:rsid w:val="00F53E77"/>
    <w:rsid w:val="00F54D57"/>
    <w:rsid w:val="00F55C6B"/>
    <w:rsid w:val="00F57FCD"/>
    <w:rsid w:val="00F63FA1"/>
    <w:rsid w:val="00F640B7"/>
    <w:rsid w:val="00F6510C"/>
    <w:rsid w:val="00F653E9"/>
    <w:rsid w:val="00F67A30"/>
    <w:rsid w:val="00F711CD"/>
    <w:rsid w:val="00F71478"/>
    <w:rsid w:val="00F77247"/>
    <w:rsid w:val="00F803A3"/>
    <w:rsid w:val="00F826CC"/>
    <w:rsid w:val="00F85315"/>
    <w:rsid w:val="00F90899"/>
    <w:rsid w:val="00F91CB0"/>
    <w:rsid w:val="00F942E1"/>
    <w:rsid w:val="00F94499"/>
    <w:rsid w:val="00F94C2F"/>
    <w:rsid w:val="00F94D87"/>
    <w:rsid w:val="00F96BD0"/>
    <w:rsid w:val="00FA27EA"/>
    <w:rsid w:val="00FA6F9A"/>
    <w:rsid w:val="00FA760D"/>
    <w:rsid w:val="00FB3112"/>
    <w:rsid w:val="00FB475B"/>
    <w:rsid w:val="00FB4B96"/>
    <w:rsid w:val="00FB52C2"/>
    <w:rsid w:val="00FC071E"/>
    <w:rsid w:val="00FC077C"/>
    <w:rsid w:val="00FD1172"/>
    <w:rsid w:val="00FD188E"/>
    <w:rsid w:val="00FD1ACC"/>
    <w:rsid w:val="00FD2540"/>
    <w:rsid w:val="00FD3C02"/>
    <w:rsid w:val="00FD44BB"/>
    <w:rsid w:val="00FD4E28"/>
    <w:rsid w:val="00FD582B"/>
    <w:rsid w:val="00FF0B15"/>
    <w:rsid w:val="00FF12D1"/>
    <w:rsid w:val="00FF1C99"/>
    <w:rsid w:val="00FF265B"/>
    <w:rsid w:val="00FF2681"/>
    <w:rsid w:val="00FF2736"/>
    <w:rsid w:val="00FF2FBC"/>
    <w:rsid w:val="00FF3A44"/>
    <w:rsid w:val="00FF460D"/>
    <w:rsid w:val="00FF5BD9"/>
    <w:rsid w:val="00FF619E"/>
    <w:rsid w:val="00FF69FB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72899"/>
  <w15:chartTrackingRefBased/>
  <w15:docId w15:val="{A4E1D418-EDA6-4D49-90E4-FA3017BA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27AF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0627AF"/>
    <w:pPr>
      <w:keepNext/>
      <w:spacing w:before="240" w:after="480"/>
      <w:ind w:left="709" w:firstLine="709"/>
      <w:jc w:val="center"/>
      <w:outlineLvl w:val="0"/>
    </w:pPr>
    <w:rPr>
      <w:b/>
      <w:spacing w:val="30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0627AF"/>
    <w:pPr>
      <w:keepNext/>
      <w:spacing w:before="240" w:after="120"/>
      <w:jc w:val="center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418E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6510C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E7FCD"/>
    <w:pPr>
      <w:spacing w:after="120"/>
      <w:ind w:left="283"/>
    </w:pPr>
  </w:style>
  <w:style w:type="character" w:styleId="Pogrubienie">
    <w:name w:val="Strong"/>
    <w:uiPriority w:val="22"/>
    <w:qFormat/>
    <w:rsid w:val="00B7037F"/>
    <w:rPr>
      <w:b/>
      <w:bCs/>
    </w:rPr>
  </w:style>
  <w:style w:type="character" w:styleId="Hipercze">
    <w:name w:val="Hyperlink"/>
    <w:rsid w:val="00475D88"/>
    <w:rPr>
      <w:color w:val="0000FF"/>
      <w:u w:val="single"/>
    </w:rPr>
  </w:style>
  <w:style w:type="paragraph" w:styleId="Tekstdymka">
    <w:name w:val="Balloon Text"/>
    <w:basedOn w:val="Normalny"/>
    <w:semiHidden/>
    <w:rsid w:val="00A3181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31812"/>
    <w:rPr>
      <w:sz w:val="16"/>
      <w:szCs w:val="16"/>
    </w:rPr>
  </w:style>
  <w:style w:type="paragraph" w:styleId="Tekstkomentarza">
    <w:name w:val="annotation text"/>
    <w:basedOn w:val="Normalny"/>
    <w:semiHidden/>
    <w:rsid w:val="00A318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31812"/>
    <w:rPr>
      <w:b/>
      <w:bCs/>
    </w:rPr>
  </w:style>
  <w:style w:type="paragraph" w:customStyle="1" w:styleId="USTustnpkodeksu">
    <w:name w:val="UST(§) – ust. (§ np. kodeksu)"/>
    <w:basedOn w:val="Normalny"/>
    <w:rsid w:val="00B0559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D622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272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413578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3BD"/>
    <w:pPr>
      <w:spacing w:after="60"/>
      <w:ind w:left="0" w:firstLine="0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Nagwek3Znak">
    <w:name w:val="Nagłówek 3 Znak"/>
    <w:link w:val="Nagwek3"/>
    <w:semiHidden/>
    <w:rsid w:val="008418E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rsid w:val="009E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E6F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E6F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F1E"/>
    <w:rPr>
      <w:sz w:val="24"/>
      <w:szCs w:val="24"/>
    </w:rPr>
  </w:style>
  <w:style w:type="paragraph" w:styleId="Poprawka">
    <w:name w:val="Revision"/>
    <w:hidden/>
    <w:uiPriority w:val="99"/>
    <w:semiHidden/>
    <w:rsid w:val="001A2A68"/>
    <w:rPr>
      <w:sz w:val="24"/>
      <w:szCs w:val="24"/>
    </w:rPr>
  </w:style>
  <w:style w:type="character" w:styleId="Wyrnieniedelikatne">
    <w:name w:val="Subtle Emphasis"/>
    <w:basedOn w:val="Wyrnienieintensywne"/>
    <w:uiPriority w:val="19"/>
    <w:qFormat/>
    <w:rsid w:val="00EF1ECD"/>
    <w:rPr>
      <w:b/>
      <w:i w:val="0"/>
      <w:iCs/>
      <w:color w:val="auto"/>
      <w:spacing w:val="30"/>
    </w:rPr>
  </w:style>
  <w:style w:type="character" w:styleId="Wyrnienieintensywne">
    <w:name w:val="Intense Emphasis"/>
    <w:uiPriority w:val="21"/>
    <w:qFormat/>
    <w:rsid w:val="000041DE"/>
    <w:rPr>
      <w:i/>
      <w:iCs/>
      <w:color w:val="4472C4"/>
    </w:rPr>
  </w:style>
  <w:style w:type="character" w:customStyle="1" w:styleId="Nagwek2Znak">
    <w:name w:val="Nagłówek 2 Znak"/>
    <w:link w:val="Nagwek2"/>
    <w:rsid w:val="000627AF"/>
    <w:rPr>
      <w:rFonts w:ascii="Arial" w:hAnsi="Arial"/>
      <w:b/>
      <w:bCs/>
      <w:iCs/>
      <w:sz w:val="24"/>
      <w:szCs w:val="28"/>
    </w:rPr>
  </w:style>
  <w:style w:type="paragraph" w:customStyle="1" w:styleId="Default">
    <w:name w:val="Default"/>
    <w:rsid w:val="001B17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0627AF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74285"/>
    <w:rPr>
      <w:rFonts w:ascii="Arial" w:hAnsi="Ari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42B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4776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7697"/>
    <w:rPr>
      <w:rFonts w:ascii="Arial" w:hAnsi="Arial"/>
    </w:rPr>
  </w:style>
  <w:style w:type="character" w:styleId="Odwoanieprzypisukocowego">
    <w:name w:val="endnote reference"/>
    <w:basedOn w:val="Domylnaczcionkaakapitu"/>
    <w:rsid w:val="00477697"/>
    <w:rPr>
      <w:vertAlign w:val="superscript"/>
    </w:rPr>
  </w:style>
  <w:style w:type="character" w:customStyle="1" w:styleId="text-justify">
    <w:name w:val="text-justify"/>
    <w:basedOn w:val="Domylnaczcionkaakapitu"/>
    <w:rsid w:val="00A66A88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20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media/112343/Wytyczne_dotyczace_kwalifikowalnosci_2021_202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DF1805-B6A3-45D3-9DD8-E57C8C31C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79DA2-6F75-4170-A143-CE6977E8D5E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3493</Words>
  <Characters>20963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299/236/21 ZWP z dnia 24 marca 2021 r, ws. przyęcia SzOOP</vt:lpstr>
    </vt:vector>
  </TitlesOfParts>
  <Company>UMWP</Company>
  <LinksUpToDate>false</LinksUpToDate>
  <CharactersWithSpaces>24408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1900566</vt:i4>
      </vt:variant>
      <vt:variant>
        <vt:i4>0</vt:i4>
      </vt:variant>
      <vt:variant>
        <vt:i4>0</vt:i4>
      </vt:variant>
      <vt:variant>
        <vt:i4>5</vt:i4>
      </vt:variant>
      <vt:variant>
        <vt:lpwstr>http://rpo.pomorskie.eu/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Uchwała_ZWP_NR 238.167.26_z _26.02.2026_zasady_kwalifikowalności</dc:title>
  <dc:subject>Kwalifikowalność wydatków; FEP</dc:subject>
  <cp:keywords>Uchwała ZWP, FEP, Kwalifikowalność</cp:keywords>
  <cp:lastModifiedBy>Maciejewska Agnieszka</cp:lastModifiedBy>
  <cp:revision>2</cp:revision>
  <cp:lastPrinted>2026-02-26T11:43:00Z</cp:lastPrinted>
  <dcterms:created xsi:type="dcterms:W3CDTF">2026-02-26T10:45:00Z</dcterms:created>
  <dcterms:modified xsi:type="dcterms:W3CDTF">2026-02-26T11:43:00Z</dcterms:modified>
</cp:coreProperties>
</file>